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《专业实践（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eastAsia="zh-CN"/>
        </w:rPr>
        <w:t>雕塑翻模与后期加工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）》实习/实训课程教学大纲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专业实践（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雕塑翻模与后期加工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cs="Times New Roman"/>
                <w:w w:val="90"/>
                <w:sz w:val="18"/>
                <w:szCs w:val="18"/>
              </w:rPr>
              <w:t>Professional practice</w:t>
            </w:r>
            <w:r>
              <w:rPr>
                <w:rFonts w:hint="eastAsia" w:ascii="宋体" w:cs="Times New Roman"/>
                <w:w w:val="90"/>
                <w:sz w:val="18"/>
                <w:szCs w:val="18"/>
              </w:rPr>
              <w:t>（</w:t>
            </w:r>
            <w:r>
              <w:rPr>
                <w:rFonts w:ascii="宋体" w:cs="Times New Roman"/>
                <w:w w:val="90"/>
                <w:sz w:val="18"/>
                <w:szCs w:val="18"/>
              </w:rPr>
              <w:t>Sculpture formwork and post processing</w:t>
            </w:r>
            <w:r>
              <w:rPr>
                <w:rFonts w:ascii="宋体" w:cs="Times New Roman"/>
                <w:w w:val="90"/>
                <w:sz w:val="18"/>
                <w:szCs w:val="18"/>
              </w:rPr>
              <w:t xml:space="preserve"> </w:t>
            </w:r>
            <w:r>
              <w:rPr>
                <w:rFonts w:hint="eastAsia" w:ascii="宋体" w:cs="Times New Roman"/>
                <w:w w:val="90"/>
                <w:sz w:val="18"/>
                <w:szCs w:val="18"/>
              </w:rPr>
              <w:t>）</w:t>
            </w:r>
          </w:p>
        </w:tc>
        <w:tc>
          <w:tcPr>
            <w:tcW w:w="756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131140</w:t>
            </w:r>
            <w:r>
              <w:rPr>
                <w:rFonts w:ascii="Times New Roman" w:hAnsi="Times New Roman" w:eastAsia="宋体" w:cs="Times New Roman"/>
                <w:szCs w:val="21"/>
              </w:rPr>
              <w:t>39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周（</w:t>
            </w:r>
            <w:r>
              <w:rPr>
                <w:rFonts w:ascii="Times New Roman" w:hAnsi="Times New Roman" w:eastAsia="宋体" w:cs="Times New Roman"/>
                <w:szCs w:val="21"/>
              </w:rPr>
              <w:t>40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学时）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备注：每周计20学时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/>
                <w:bCs/>
                <w:szCs w:val="21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课程作品  □汇报展示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□课堂表现  □阶段性测试  □平时作业   □其他（可多选）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冯昌泰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彭博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泥塑（头像）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素描（人体）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泥塑（胸像、躯干）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隋建国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雕塑基础教程</w:t>
            </w:r>
            <w:r>
              <w:rPr>
                <w:rFonts w:ascii="Times New Roman" w:hAnsi="Times New Roman" w:eastAsia="宋体" w:cs="Times New Roman"/>
                <w:szCs w:val="21"/>
              </w:rPr>
              <w:t>（第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一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版）[M].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石家庄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: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河北</w:t>
            </w:r>
            <w:r>
              <w:rPr>
                <w:rFonts w:ascii="Times New Roman" w:hAnsi="Times New Roman" w:eastAsia="宋体" w:cs="Times New Roman"/>
                <w:szCs w:val="21"/>
              </w:rPr>
              <w:t>教育出版社, 2007.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 王子云. 中国雕塑艺术史（第一版）[M]. 北京: 人民美术出版社, 2012.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. 冯骥才. 中国民间泥彩塑</w:t>
            </w:r>
            <w:r>
              <w:rPr>
                <w:rFonts w:ascii="Times New Roman" w:hAnsi="Times New Roman" w:eastAsia="宋体" w:cs="Times New Roman"/>
                <w:szCs w:val="21"/>
              </w:rPr>
              <w:t>集成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（第一版）[M]. 西安: 陕西</w:t>
            </w:r>
            <w:r>
              <w:rPr>
                <w:rFonts w:ascii="Times New Roman" w:hAnsi="Times New Roman" w:eastAsia="宋体" w:cs="Times New Roman"/>
                <w:szCs w:val="21"/>
              </w:rPr>
              <w:t>师范大学出版总社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, 2012.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92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Ansi="宋体" w:eastAsia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ind w:firstLine="440" w:firstLineChars="200"/>
              <w:rPr>
                <w:rFonts w:hint="eastAsia" w:ascii="Times" w:hAnsi="Times"/>
                <w:sz w:val="22"/>
                <w:szCs w:val="24"/>
              </w:rPr>
            </w:pPr>
            <w:r>
              <w:rPr>
                <w:rFonts w:hint="default" w:ascii="Times" w:hAnsi="Times"/>
                <w:sz w:val="22"/>
                <w:szCs w:val="24"/>
              </w:rPr>
              <w:t>本课程使学生</w:t>
            </w:r>
            <w:r>
              <w:rPr>
                <w:rFonts w:hint="eastAsia" w:ascii="Times" w:hAnsi="Times"/>
                <w:sz w:val="22"/>
                <w:szCs w:val="24"/>
              </w:rPr>
              <w:t>了解泥塑翻制的基本方法和技巧，并通过课堂泥塑翻制训练掌握翻制的插片、石膏浇筑、开模等基本步骤；熟悉石膏、玻璃钢的配比基本知识，熟练掌握泥塑插片的基本规律和基本法则；熟练运用翻制技法对泥塑进行翻制成型为石膏、玻璃钢等材质；具有较强的学习和动手能力；能够运用课堂所学知识较好的进行毕业创作和相关雕塑艺术创作。能够运用以上基本技能较好的完成毕业创作的文案写作。</w:t>
            </w:r>
          </w:p>
          <w:p>
            <w:pPr>
              <w:adjustRightInd w:val="0"/>
              <w:snapToGrid w:val="0"/>
              <w:spacing w:line="400" w:lineRule="exact"/>
              <w:ind w:firstLine="440" w:firstLineChars="200"/>
              <w:rPr>
                <w:rFonts w:hint="eastAsia" w:ascii="Times" w:hAnsi="Times"/>
                <w:sz w:val="22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562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93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9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93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" w:hAnsi="Times"/>
                <w:sz w:val="22"/>
                <w:szCs w:val="24"/>
              </w:rPr>
              <w:t>了解雕塑翻制的历史和原理，熟悉雕塑不同材质翻制技法上的异同，理解材质对雕塑表达观念和特征的影响；了解中国传统泥塑的塑造和保存方法</w:t>
            </w:r>
            <w:r>
              <w:rPr>
                <w:rFonts w:hint="default" w:ascii="Times" w:hAnsi="Times"/>
                <w:sz w:val="22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" w:hAnsi="Times"/>
                <w:sz w:val="22"/>
                <w:szCs w:val="24"/>
              </w:rPr>
              <w:t>了解泥塑翻制的基本方法和技巧，并通过课堂泥塑翻制训练掌握翻制的插片、石膏浇筑、开模等基本步骤；熟悉石膏、玻璃钢的配比基本知识，熟练掌握泥塑插片的基本规律和基本法则；熟练运用翻制技法对泥塑进行翻制成型为石膏、玻璃钢等材质</w:t>
            </w:r>
            <w:r>
              <w:rPr>
                <w:rFonts w:hint="default" w:ascii="Times" w:hAnsi="Times"/>
                <w:sz w:val="22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" w:hAnsi="Times"/>
                <w:sz w:val="22"/>
                <w:szCs w:val="24"/>
              </w:rPr>
              <w:t>具备现代雕塑材料创新运用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79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" w:hAnsi="Times"/>
                <w:sz w:val="22"/>
                <w:szCs w:val="24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jc w:val="left"/>
        <w:textAlignment w:val="auto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left="420" w:firstLine="422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sz w:val="22"/>
          <w:szCs w:val="22"/>
        </w:rPr>
        <w:t>表2-1 课程目标与毕业要求对应关系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5158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毕业要求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指标点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毕业要求3：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学科知识【M】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3.1了解艺术发展的本质与规律，熟悉中外雕塑的历史发展与演变，理解不同时期、不同地域雕塑艺术的观念、特征及影响。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5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毕业要求5：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应用能力【L】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5.2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具有较高的科学文化素质和艺术素养。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0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5.3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具有较高审美水平、良好的沟通能力以及团队合作精神，以应对时代及社会发展需要。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毕业要求7：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综合能力【H】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7.3理解并掌握本专业领域的设计项目管理原理与科学决策方法，并能在多学科环境中应用，有效推动工作运行。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50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毕业要求4：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专业能力【M】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4.2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15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4.3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2"/>
                <w:szCs w:val="22"/>
              </w:rPr>
              <w:t>4</w:t>
            </w:r>
          </w:p>
        </w:tc>
      </w:tr>
    </w:tbl>
    <w:p>
      <w:pPr>
        <w:pStyle w:val="4"/>
        <w:kinsoku w:val="0"/>
        <w:overflowPunct w:val="0"/>
        <w:spacing w:before="61"/>
        <w:ind w:firstLine="562" w:firstLineChars="200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雕塑翻制观摩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泥塑翻制的材料和基本方法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材料转换的基本原理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雕塑翻制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翻制的基本方法与步骤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石膏、玻璃钢的配比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初胚加工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初胚残缺修复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运用工具打磨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后期效果处理</w:t>
      </w:r>
    </w:p>
    <w:p>
      <w:pPr>
        <w:snapToGrid w:val="0"/>
        <w:spacing w:line="400" w:lineRule="exact"/>
        <w:ind w:left="420" w:leftChars="200" w:firstLine="440" w:firstLineChars="200"/>
        <w:rPr>
          <w:rFonts w:hint="eastAsia"/>
          <w:b w:val="0"/>
          <w:bCs/>
          <w:sz w:val="22"/>
          <w:szCs w:val="24"/>
        </w:rPr>
      </w:pPr>
      <w:r>
        <w:rPr>
          <w:rFonts w:hint="eastAsia"/>
          <w:b w:val="0"/>
          <w:bCs/>
          <w:sz w:val="22"/>
          <w:szCs w:val="24"/>
        </w:rPr>
        <w:t>模拟石材、青铜效果</w:t>
      </w:r>
    </w:p>
    <w:p>
      <w:pPr>
        <w:adjustRightInd w:val="0"/>
        <w:snapToGrid w:val="0"/>
        <w:spacing w:line="400" w:lineRule="exact"/>
        <w:ind w:left="210" w:leftChars="100"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.雕塑翻制观摩  12课时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.雕塑翻制      12课时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3.初胚加工       6课时 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.后期效果处理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课时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.教师讲解相关知识及注意事项；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准备待翻制作品；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.观摩翻制过程，由专业人员讲解相关知识；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.在专业人员指导下翻制作品；</w:t>
      </w:r>
    </w:p>
    <w:p>
      <w:pPr>
        <w:adjustRightInd w:val="0"/>
        <w:snapToGrid w:val="0"/>
        <w:spacing w:line="400" w:lineRule="exact"/>
        <w:ind w:firstLine="480" w:firstLineChars="200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.在任课教师指导下进行初胚加工；</w:t>
      </w:r>
    </w:p>
    <w:p>
      <w:pPr>
        <w:snapToGrid w:val="0"/>
        <w:spacing w:line="400" w:lineRule="exact"/>
        <w:ind w:firstLine="440" w:firstLineChars="200"/>
        <w:rPr>
          <w:rFonts w:hint="default" w:ascii="Times" w:eastAsia="Times"/>
          <w:sz w:val="22"/>
          <w:szCs w:val="24"/>
        </w:rPr>
      </w:pPr>
      <w:r>
        <w:rPr>
          <w:rFonts w:hint="eastAsia" w:ascii="Times" w:hAnsi="Times"/>
          <w:sz w:val="22"/>
          <w:szCs w:val="24"/>
        </w:rPr>
        <w:t>（</w:t>
      </w:r>
      <w:r>
        <w:rPr>
          <w:rFonts w:hint="default" w:ascii="Times" w:hAnsi="Times"/>
          <w:sz w:val="22"/>
          <w:szCs w:val="24"/>
        </w:rPr>
        <w:t>6</w:t>
      </w:r>
      <w:r>
        <w:rPr>
          <w:rFonts w:hint="eastAsia" w:ascii="Times" w:hAnsi="Times"/>
          <w:sz w:val="22"/>
          <w:szCs w:val="24"/>
        </w:rPr>
        <w:t>）在任课教师指导下处理后期效果；</w:t>
      </w:r>
    </w:p>
    <w:p>
      <w:pPr>
        <w:snapToGrid w:val="0"/>
        <w:spacing w:line="400" w:lineRule="exact"/>
        <w:ind w:firstLine="440" w:firstLineChars="200"/>
        <w:rPr>
          <w:rFonts w:hint="default" w:ascii="Times" w:eastAsia="Times"/>
          <w:sz w:val="22"/>
          <w:szCs w:val="24"/>
        </w:rPr>
      </w:pPr>
      <w:r>
        <w:rPr>
          <w:rFonts w:hint="eastAsia" w:ascii="Times" w:hAnsi="Times"/>
          <w:sz w:val="22"/>
          <w:szCs w:val="24"/>
        </w:rPr>
        <w:t>（</w:t>
      </w:r>
      <w:r>
        <w:rPr>
          <w:rFonts w:hint="default" w:ascii="Times" w:hAnsi="Times"/>
          <w:sz w:val="22"/>
          <w:szCs w:val="24"/>
        </w:rPr>
        <w:t>7</w:t>
      </w:r>
      <w:r>
        <w:rPr>
          <w:rFonts w:hint="eastAsia" w:ascii="Times" w:hAnsi="Times"/>
          <w:sz w:val="22"/>
          <w:szCs w:val="24"/>
        </w:rPr>
        <w:t>）完成作品制作；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>
      <w:pPr>
        <w:snapToGrid w:val="0"/>
        <w:spacing w:line="400" w:lineRule="exact"/>
        <w:ind w:firstLine="480" w:firstLineChars="200"/>
        <w:rPr>
          <w:rFonts w:hint="eastAsia" w:ascii="Times"/>
          <w:sz w:val="22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" w:hAnsi="Times"/>
          <w:sz w:val="22"/>
          <w:szCs w:val="24"/>
        </w:rPr>
        <w:t>校内老师</w:t>
      </w:r>
      <w:r>
        <w:rPr>
          <w:rFonts w:hint="default" w:ascii="Times" w:hAnsi="Times"/>
          <w:sz w:val="22"/>
          <w:szCs w:val="24"/>
        </w:rPr>
        <w:t>1</w:t>
      </w:r>
      <w:r>
        <w:rPr>
          <w:rFonts w:hint="eastAsia" w:ascii="Times" w:hAnsi="Times"/>
          <w:sz w:val="22"/>
          <w:szCs w:val="24"/>
        </w:rPr>
        <w:t>名指导材料转换的基本原理和后期效果处理；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校外老师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名指导翻制的方法与步骤和原料的配比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leftChars="0" w:firstLine="0" w:firstLineChars="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四、课程考核</w:t>
      </w: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0"/>
        <w:tblW w:w="5043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3398"/>
        <w:gridCol w:w="1752"/>
        <w:gridCol w:w="1032"/>
        <w:gridCol w:w="16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7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8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雕塑翻制观摩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前期准备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20%</w:t>
            </w:r>
          </w:p>
        </w:tc>
        <w:tc>
          <w:tcPr>
            <w:tcW w:w="8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7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8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雕塑翻制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翻制成型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50%</w:t>
            </w:r>
          </w:p>
        </w:tc>
        <w:tc>
          <w:tcPr>
            <w:tcW w:w="8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85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初胚处理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初胚修复和打磨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15%</w:t>
            </w:r>
          </w:p>
        </w:tc>
        <w:tc>
          <w:tcPr>
            <w:tcW w:w="8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平时作业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1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效果制作</w:t>
            </w: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后期效果处理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15%</w:t>
            </w:r>
          </w:p>
        </w:tc>
        <w:tc>
          <w:tcPr>
            <w:tcW w:w="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平时作业</w:t>
            </w:r>
          </w:p>
        </w:tc>
      </w:tr>
    </w:tbl>
    <w:p>
      <w:pPr>
        <w:pStyle w:val="24"/>
        <w:kinsoku w:val="0"/>
        <w:overflowPunct w:val="0"/>
        <w:spacing w:line="278" w:lineRule="auto"/>
        <w:ind w:left="242" w:right="98" w:hanging="132"/>
        <w:jc w:val="center"/>
        <w:rPr>
          <w:sz w:val="21"/>
          <w:szCs w:val="21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调研过程（</w:t>
      </w:r>
      <w:r>
        <w:rPr>
          <w:rFonts w:ascii="Times" w:hAnsi="Times" w:eastAsia="宋体" w:cs="Times"/>
          <w:kern w:val="0"/>
          <w:sz w:val="24"/>
          <w:szCs w:val="24"/>
        </w:rPr>
        <w:t>60%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课堂表现（</w:t>
      </w:r>
      <w:r>
        <w:rPr>
          <w:rFonts w:ascii="Times" w:hAnsi="Times" w:eastAsia="宋体" w:cs="Times"/>
          <w:kern w:val="0"/>
          <w:sz w:val="24"/>
          <w:szCs w:val="24"/>
        </w:rPr>
        <w:t>30%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出勤情况（</w:t>
      </w:r>
      <w:r>
        <w:rPr>
          <w:rFonts w:ascii="Times" w:hAnsi="Times" w:eastAsia="宋体" w:cs="Times"/>
          <w:kern w:val="0"/>
          <w:sz w:val="24"/>
          <w:szCs w:val="24"/>
        </w:rPr>
        <w:t>10</w:t>
      </w:r>
      <w:r>
        <w:rPr>
          <w:rFonts w:hint="eastAsia" w:ascii="Times" w:hAnsi="Times" w:eastAsia="宋体" w:cs="Times"/>
          <w:kern w:val="0"/>
          <w:sz w:val="24"/>
          <w:szCs w:val="24"/>
        </w:rPr>
        <w:t>%）</w:t>
      </w:r>
    </w:p>
    <w:p>
      <w:pPr>
        <w:snapToGrid w:val="0"/>
        <w:spacing w:line="400" w:lineRule="exact"/>
        <w:ind w:firstLine="422" w:firstLineChars="200"/>
        <w:jc w:val="center"/>
        <w:rPr>
          <w:rFonts w:ascii="Times" w:hAnsi="Times" w:cs="Times"/>
          <w:b/>
          <w:szCs w:val="21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平时成绩评分标准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调研过程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前期准备充分，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素材收集全面，目的明确，计划清晰；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，具有充分的积极性和主动性，能够与教师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调研对象积极交流专业问题，并能够</w:t>
            </w:r>
            <w:r>
              <w:rPr>
                <w:rFonts w:hint="eastAsia" w:ascii="Times New Roman" w:hAnsi="Times New Roman" w:cs="Times New Roman"/>
                <w:szCs w:val="21"/>
              </w:rPr>
              <w:t>自主查阅</w:t>
            </w:r>
            <w:r>
              <w:rPr>
                <w:rFonts w:ascii="Times New Roman" w:hAnsi="Times New Roman" w:cs="Times New Roman"/>
                <w:szCs w:val="21"/>
              </w:rPr>
              <w:t>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收集素材</w:t>
            </w:r>
            <w:r>
              <w:rPr>
                <w:rFonts w:hint="eastAsia" w:ascii="Times New Roman" w:hAnsi="Times New Roman" w:cs="Times New Roman"/>
                <w:szCs w:val="21"/>
              </w:rPr>
              <w:t>以</w:t>
            </w:r>
            <w:r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hint="eastAsia" w:ascii="Times New Roman" w:hAnsi="Times New Roman" w:cs="Times New Roman"/>
                <w:szCs w:val="21"/>
              </w:rPr>
              <w:t>调查报告；调研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不足，主动反思并提出</w:t>
            </w:r>
            <w:r>
              <w:rPr>
                <w:rFonts w:hint="eastAsia" w:ascii="Times New Roman" w:hAnsi="Times New Roman" w:cs="Times New Roman"/>
                <w:szCs w:val="21"/>
              </w:rPr>
              <w:t>切实可行</w:t>
            </w:r>
            <w:r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清晰；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hint="eastAsia" w:ascii="Times New Roman" w:hAnsi="Times New Roman" w:cs="Times New Roman"/>
                <w:szCs w:val="21"/>
              </w:rPr>
              <w:t>较强</w:t>
            </w:r>
            <w:r>
              <w:rPr>
                <w:rFonts w:ascii="Times New Roman" w:hAnsi="Times New Roman" w:cs="Times New Roman"/>
                <w:szCs w:val="21"/>
              </w:rPr>
              <w:t>的积极性和主动性，能够与教师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调研对象交流专业问题，并能够</w:t>
            </w:r>
            <w:r>
              <w:rPr>
                <w:rFonts w:hint="eastAsia" w:ascii="Times New Roman" w:hAnsi="Times New Roman" w:cs="Times New Roman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>
              <w:rPr>
                <w:rFonts w:hint="eastAsia" w:ascii="Times New Roman" w:hAnsi="Times New Roman" w:cs="Times New Roman"/>
                <w:szCs w:val="21"/>
              </w:rPr>
              <w:t>查阅</w:t>
            </w:r>
            <w:r>
              <w:rPr>
                <w:rFonts w:ascii="Times New Roman" w:hAnsi="Times New Roman" w:cs="Times New Roman"/>
                <w:szCs w:val="21"/>
              </w:rPr>
              <w:t>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收集素材</w:t>
            </w:r>
            <w:r>
              <w:rPr>
                <w:rFonts w:hint="eastAsia" w:ascii="Times New Roman" w:hAnsi="Times New Roman" w:cs="Times New Roman"/>
                <w:szCs w:val="21"/>
              </w:rPr>
              <w:t>以</w:t>
            </w:r>
            <w:r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hint="eastAsia" w:ascii="Times New Roman" w:hAnsi="Times New Roman" w:cs="Times New Roman"/>
                <w:szCs w:val="21"/>
              </w:rPr>
              <w:t>调查报告；调研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不足，反思并提出</w:t>
            </w:r>
            <w:r>
              <w:rPr>
                <w:rFonts w:hint="eastAsia" w:ascii="Times New Roman" w:hAnsi="Times New Roman" w:cs="Times New Roman"/>
                <w:szCs w:val="21"/>
              </w:rPr>
              <w:t>可行</w:t>
            </w:r>
            <w:r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hint="eastAsia" w:ascii="Times New Roman" w:hAnsi="Times New Roman" w:cs="Times New Roman"/>
                <w:szCs w:val="21"/>
              </w:rPr>
              <w:t>较好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资料</w:t>
            </w:r>
            <w:r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hint="eastAsia" w:ascii="Times New Roman" w:hAnsi="Times New Roman" w:cs="Times New Roman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hint="eastAsia" w:ascii="Times New Roman" w:hAnsi="Times New Roman" w:cs="Times New Roman"/>
                <w:szCs w:val="21"/>
              </w:rPr>
              <w:t>一定</w:t>
            </w:r>
            <w:r>
              <w:rPr>
                <w:rFonts w:ascii="Times New Roman" w:hAnsi="Times New Roman" w:cs="Times New Roman"/>
                <w:szCs w:val="21"/>
              </w:rPr>
              <w:t>积极性和主动性，能够与教师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</w:t>
            </w:r>
            <w:r>
              <w:rPr>
                <w:rFonts w:hint="eastAsia" w:ascii="Times New Roman" w:hAnsi="Times New Roman" w:cs="Times New Roman"/>
                <w:szCs w:val="21"/>
              </w:rPr>
              <w:t>；调研</w:t>
            </w:r>
            <w:r>
              <w:rPr>
                <w:rFonts w:ascii="Times New Roman" w:hAnsi="Times New Roman" w:cs="Times New Roman"/>
                <w:szCs w:val="21"/>
              </w:rPr>
              <w:t>完成后能够</w:t>
            </w:r>
            <w:r>
              <w:rPr>
                <w:rFonts w:hint="eastAsia" w:ascii="Times New Roman" w:hAnsi="Times New Roman" w:cs="Times New Roman"/>
                <w:szCs w:val="21"/>
              </w:rPr>
              <w:t>针对</w:t>
            </w:r>
            <w:r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hint="eastAsia" w:ascii="Times New Roman" w:hAnsi="Times New Roman" w:cs="Times New Roman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指导下反思并提出整改方案。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所准备，</w:t>
            </w:r>
            <w:r>
              <w:rPr>
                <w:rFonts w:hint="eastAsia" w:ascii="Times New Roman" w:hAnsi="Times New Roman" w:cs="Times New Roman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能够与教师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调研对象交流专业问题</w:t>
            </w:r>
            <w:r>
              <w:rPr>
                <w:rFonts w:hint="eastAsia" w:ascii="Times New Roman" w:hAnsi="Times New Roman" w:cs="Times New Roman"/>
                <w:szCs w:val="21"/>
              </w:rPr>
              <w:t>；调研</w:t>
            </w:r>
            <w:r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hint="eastAsia" w:ascii="Times New Roman" w:hAnsi="Times New Roman" w:cs="Times New Roman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指导下反思并提出整改方案。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调研</w:t>
            </w:r>
            <w:r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  <w:r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hint="eastAsia" w:ascii="Times New Roman" w:hAnsi="Times New Roman" w:cs="Times New Roman"/>
                <w:szCs w:val="21"/>
              </w:rPr>
              <w:t>工作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调研过程中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hint="eastAsia" w:ascii="Times New Roman" w:hAnsi="Times New Roman" w:cs="Times New Roman"/>
                <w:szCs w:val="21"/>
              </w:rPr>
              <w:t>性；调研</w:t>
            </w:r>
            <w:r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hint="eastAsia" w:ascii="Times New Roman" w:hAnsi="Times New Roman" w:cs="Times New Roman"/>
                <w:szCs w:val="21"/>
              </w:rPr>
              <w:t>不</w:t>
            </w:r>
            <w:r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tabs>
          <w:tab w:val="left" w:pos="1915"/>
        </w:tabs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调研报告（60%）+课程作品（30%）+出勤情况（10%）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能够准确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</w:t>
            </w:r>
            <w:r>
              <w:rPr>
                <w:rFonts w:ascii="Times New Roman" w:hAnsi="Times New Roman" w:cs="Times New Roman"/>
                <w:szCs w:val="21"/>
              </w:rPr>
              <w:t>完整，完成度</w:t>
            </w:r>
            <w:r>
              <w:rPr>
                <w:rFonts w:hint="eastAsia" w:ascii="Times New Roman" w:hAnsi="Times New Roman" w:cs="Times New Roman"/>
                <w:szCs w:val="21"/>
              </w:rPr>
              <w:t>高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作品能够充分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造型特点，</w:t>
            </w:r>
            <w:r>
              <w:rPr>
                <w:rFonts w:hint="eastAsia" w:ascii="Times New Roman" w:hAnsi="Times New Roman" w:cs="Times New Roman"/>
                <w:szCs w:val="21"/>
              </w:rPr>
              <w:t>形体</w:t>
            </w:r>
            <w:r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能够比较准确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塑造步骤比较</w:t>
            </w:r>
            <w:r>
              <w:rPr>
                <w:rFonts w:ascii="Times New Roman" w:hAnsi="Times New Roman" w:cs="Times New Roman"/>
                <w:szCs w:val="21"/>
              </w:rPr>
              <w:t>完整，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一定完成度；</w:t>
            </w:r>
            <w:r>
              <w:rPr>
                <w:rFonts w:hint="eastAsia" w:ascii="Times New Roman" w:hAnsi="Times New Roman" w:cs="Times New Roman"/>
                <w:szCs w:val="21"/>
              </w:rPr>
              <w:t>作品能够比较充分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造型特点，</w:t>
            </w:r>
            <w:r>
              <w:rPr>
                <w:rFonts w:hint="eastAsia" w:ascii="Times New Roman" w:hAnsi="Times New Roman" w:cs="Times New Roman"/>
                <w:szCs w:val="21"/>
              </w:rPr>
              <w:t>形体</w:t>
            </w:r>
            <w:r>
              <w:rPr>
                <w:rFonts w:ascii="Times New Roman" w:hAnsi="Times New Roman" w:cs="Times New Roman"/>
                <w:szCs w:val="21"/>
              </w:rPr>
              <w:t>、结构、空间关系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能够描述对象主要特征，并对其文化内涵进行阐释；塑造步骤比较完整；作品能够表现对象造型特点。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塑造步骤基本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作品基本能够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不能够</w:t>
            </w:r>
            <w:r>
              <w:rPr>
                <w:rFonts w:ascii="Times New Roman" w:hAnsi="Times New Roman" w:cs="Times New Roman"/>
                <w:szCs w:val="21"/>
              </w:rPr>
              <w:t>描述对象主要特征</w:t>
            </w:r>
            <w:r>
              <w:rPr>
                <w:rFonts w:hint="eastAsia" w:ascii="Times New Roman" w:hAnsi="Times New Roman" w:cs="Times New Roman"/>
                <w:szCs w:val="21"/>
              </w:rPr>
              <w:t>，无法</w:t>
            </w:r>
            <w:r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>
              <w:rPr>
                <w:rFonts w:hint="eastAsia" w:ascii="Times New Roman" w:hAnsi="Times New Roman" w:cs="Times New Roman"/>
                <w:szCs w:val="21"/>
              </w:rPr>
              <w:t>塑造步骤不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作品不能够</w:t>
            </w:r>
            <w:r>
              <w:rPr>
                <w:rFonts w:ascii="Times New Roman" w:hAnsi="Times New Roman" w:cs="Times New Roman"/>
                <w:szCs w:val="21"/>
              </w:rPr>
              <w:t>表现</w:t>
            </w:r>
            <w:r>
              <w:rPr>
                <w:rFonts w:hint="eastAsia" w:ascii="Times New Roman" w:hAnsi="Times New Roman" w:cs="Times New Roman"/>
                <w:szCs w:val="21"/>
              </w:rPr>
              <w:t>对象</w:t>
            </w:r>
            <w:r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总成绩（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30%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70%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（三）评分标准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表4 评分标准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647"/>
        <w:gridCol w:w="1647"/>
        <w:gridCol w:w="1647"/>
        <w:gridCol w:w="1648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中等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/>
              </w:rPr>
              <w:t>课程作品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</w:t>
            </w:r>
            <w:r>
              <w:rPr>
                <w:rFonts w:ascii="Times New Roman" w:hAnsi="Times New Roman" w:cs="Times New Roman"/>
                <w:szCs w:val="21"/>
              </w:rPr>
              <w:t>有条理，</w:t>
            </w:r>
            <w:r>
              <w:rPr>
                <w:rFonts w:hint="eastAsia" w:ascii="Times New Roman" w:hAnsi="Times New Roman" w:cs="Times New Roman"/>
                <w:szCs w:val="21"/>
              </w:rPr>
              <w:t>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根据实际情况及时、恰当进行优化和调整；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</w:t>
            </w:r>
            <w:r>
              <w:rPr>
                <w:rFonts w:ascii="Times New Roman" w:hAnsi="Times New Roman" w:cs="Times New Roman"/>
                <w:szCs w:val="21"/>
              </w:rPr>
              <w:t>能够充分体现民间特色；创作作品完成度高，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充分的艺术表现力。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创作过程比较</w:t>
            </w:r>
            <w:r>
              <w:rPr>
                <w:rFonts w:ascii="Times New Roman" w:hAnsi="Times New Roman" w:cs="Times New Roman"/>
                <w:szCs w:val="21"/>
              </w:rPr>
              <w:t>有条理，</w:t>
            </w:r>
            <w:r>
              <w:rPr>
                <w:rFonts w:hint="eastAsia" w:ascii="Times New Roman" w:hAnsi="Times New Roman" w:cs="Times New Roman"/>
                <w:szCs w:val="21"/>
              </w:rPr>
              <w:t>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比较能够</w:t>
            </w:r>
            <w:r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创作作品能够体现较</w:t>
            </w:r>
            <w:r>
              <w:rPr>
                <w:rFonts w:ascii="Times New Roman" w:hAnsi="Times New Roman" w:cs="Times New Roman"/>
                <w:szCs w:val="21"/>
              </w:rPr>
              <w:t>鲜明</w:t>
            </w:r>
            <w:r>
              <w:rPr>
                <w:rFonts w:hint="eastAsia" w:ascii="Times New Roman" w:hAnsi="Times New Roman" w:cs="Times New Roman"/>
                <w:szCs w:val="21"/>
              </w:rPr>
              <w:t>的民间特色；</w:t>
            </w:r>
            <w:r>
              <w:rPr>
                <w:rFonts w:ascii="Times New Roman" w:hAnsi="Times New Roman" w:cs="Times New Roman"/>
                <w:szCs w:val="21"/>
              </w:rPr>
              <w:t>创作作品完成度</w:t>
            </w:r>
            <w:r>
              <w:rPr>
                <w:rFonts w:hint="eastAsia" w:ascii="Times New Roman" w:hAnsi="Times New Roman" w:cs="Times New Roman"/>
                <w:szCs w:val="21"/>
              </w:rPr>
              <w:t>较</w:t>
            </w:r>
            <w:r>
              <w:rPr>
                <w:rFonts w:ascii="Times New Roman" w:hAnsi="Times New Roman" w:cs="Times New Roman"/>
                <w:szCs w:val="21"/>
              </w:rPr>
              <w:t>高，</w:t>
            </w:r>
            <w:r>
              <w:rPr>
                <w:rFonts w:hint="eastAsia" w:ascii="Times New Roman" w:hAnsi="Times New Roman" w:cs="Times New Roman"/>
                <w:szCs w:val="21"/>
              </w:rPr>
              <w:t>具有一定</w:t>
            </w:r>
            <w:r>
              <w:rPr>
                <w:rFonts w:ascii="Times New Roman" w:hAnsi="Times New Roman" w:cs="Times New Roman"/>
                <w:szCs w:val="21"/>
              </w:rPr>
              <w:t>艺术表现力。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创作过程思路清晰，步骤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Cs w:val="21"/>
              </w:rPr>
              <w:t>创作作品能够体现民间特色；</w:t>
            </w:r>
            <w:r>
              <w:rPr>
                <w:rFonts w:ascii="Times New Roman" w:hAnsi="Times New Roman" w:cs="Times New Roman"/>
                <w:szCs w:val="21"/>
              </w:rPr>
              <w:t>创作作品</w:t>
            </w:r>
            <w:r>
              <w:rPr>
                <w:rFonts w:hint="eastAsia" w:ascii="Times New Roman" w:hAnsi="Times New Roman" w:cs="Times New Roman"/>
                <w:szCs w:val="21"/>
              </w:rPr>
              <w:t>具有</w:t>
            </w:r>
            <w:r>
              <w:rPr>
                <w:rFonts w:ascii="Times New Roman" w:hAnsi="Times New Roman" w:cs="Times New Roman"/>
                <w:szCs w:val="21"/>
              </w:rPr>
              <w:t>一定完成度。</w:t>
            </w:r>
          </w:p>
        </w:tc>
        <w:tc>
          <w:tcPr>
            <w:tcW w:w="88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创作过程步骤基本</w:t>
            </w:r>
            <w:r>
              <w:rPr>
                <w:rFonts w:ascii="Times New Roman" w:hAnsi="Times New Roman" w:cs="Times New Roman"/>
                <w:szCs w:val="21"/>
              </w:rPr>
              <w:t>完整；</w:t>
            </w:r>
            <w:r>
              <w:rPr>
                <w:rFonts w:hint="eastAsia" w:ascii="Times New Roman" w:hAnsi="Times New Roman" w:cs="Times New Roman"/>
                <w:szCs w:val="21"/>
              </w:rPr>
              <w:t>创作作品基本能够体现民间特色；</w:t>
            </w:r>
            <w:r>
              <w:rPr>
                <w:rFonts w:ascii="Times New Roman" w:hAnsi="Times New Roman" w:cs="Times New Roman"/>
                <w:szCs w:val="21"/>
              </w:rPr>
              <w:t>创作作品</w:t>
            </w:r>
            <w:r>
              <w:rPr>
                <w:rFonts w:hint="eastAsia" w:ascii="Times New Roman" w:hAnsi="Times New Roman" w:cs="Times New Roman"/>
                <w:szCs w:val="21"/>
              </w:rPr>
              <w:t>具有基本完成度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865" w:type="pct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不能够完成</w:t>
            </w:r>
            <w:r>
              <w:rPr>
                <w:rFonts w:ascii="Times New Roman" w:hAnsi="Times New Roman" w:cs="Times New Roman"/>
                <w:szCs w:val="21"/>
              </w:rPr>
              <w:t>创作作品。</w:t>
            </w:r>
          </w:p>
        </w:tc>
      </w:tr>
    </w:tbl>
    <w:p>
      <w:pPr>
        <w:kinsoku w:val="0"/>
        <w:overflowPunct w:val="0"/>
        <w:autoSpaceDE w:val="0"/>
        <w:autoSpaceDN w:val="0"/>
        <w:adjustRightInd w:val="0"/>
        <w:snapToGrid w:val="0"/>
        <w:spacing w:after="120" w:afterLines="50"/>
        <w:ind w:firstLine="281" w:firstLineChars="100"/>
        <w:jc w:val="left"/>
        <w:outlineLvl w:val="1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after="120" w:afterLines="50"/>
        <w:ind w:firstLine="562" w:firstLineChars="200"/>
        <w:jc w:val="left"/>
        <w:outlineLvl w:val="1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五、其他说明</w:t>
      </w:r>
    </w:p>
    <w:p>
      <w:pPr>
        <w:spacing w:line="360" w:lineRule="auto"/>
        <w:ind w:firstLine="480" w:firstLineChars="200"/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雕塑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院（部）教学工作委员会审定，教务处审核批准，自2023级开始执行。</w: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99BE36-98D2-42FE-BCD6-5AC9280721F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9DCAA22-9A06-40DD-B467-0D8584DE69FA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9BFA97F4-4F96-48C6-9840-28C95E67AEAC}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  <w:embedRegular r:id="rId4" w:fontKey="{D3F9A4A2-6B47-4BE9-9BE2-DBE6981224ED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  <w:embedRegular r:id="rId5" w:fontKey="{E79178D0-914C-4D0B-851B-E4700DA99D0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Zjc5YmViNWJjYTNjYmUzNmUzMzA2NTY0NTA1YTMifQ=="/>
  </w:docVars>
  <w:rsids>
    <w:rsidRoot w:val="008F4441"/>
    <w:rsid w:val="00001AA7"/>
    <w:rsid w:val="00085F49"/>
    <w:rsid w:val="000C5191"/>
    <w:rsid w:val="000D32B7"/>
    <w:rsid w:val="000D6B29"/>
    <w:rsid w:val="0017779D"/>
    <w:rsid w:val="001C72BE"/>
    <w:rsid w:val="001D02A4"/>
    <w:rsid w:val="001D24B0"/>
    <w:rsid w:val="001F0978"/>
    <w:rsid w:val="0020782F"/>
    <w:rsid w:val="00241260"/>
    <w:rsid w:val="00251577"/>
    <w:rsid w:val="00262F6C"/>
    <w:rsid w:val="002778F9"/>
    <w:rsid w:val="00283584"/>
    <w:rsid w:val="002910DD"/>
    <w:rsid w:val="002B792B"/>
    <w:rsid w:val="002D2036"/>
    <w:rsid w:val="002D45DB"/>
    <w:rsid w:val="00300172"/>
    <w:rsid w:val="00300590"/>
    <w:rsid w:val="00317DE6"/>
    <w:rsid w:val="00323670"/>
    <w:rsid w:val="003674F5"/>
    <w:rsid w:val="003C51E5"/>
    <w:rsid w:val="00400041"/>
    <w:rsid w:val="0044332C"/>
    <w:rsid w:val="0047606F"/>
    <w:rsid w:val="004770EC"/>
    <w:rsid w:val="004C1AA7"/>
    <w:rsid w:val="004C400D"/>
    <w:rsid w:val="004F64DB"/>
    <w:rsid w:val="00530E74"/>
    <w:rsid w:val="005424AA"/>
    <w:rsid w:val="00544EAA"/>
    <w:rsid w:val="005538AE"/>
    <w:rsid w:val="005A5574"/>
    <w:rsid w:val="005B4C10"/>
    <w:rsid w:val="005F1800"/>
    <w:rsid w:val="005F1B56"/>
    <w:rsid w:val="006035BD"/>
    <w:rsid w:val="00645ABD"/>
    <w:rsid w:val="0069497C"/>
    <w:rsid w:val="0071788B"/>
    <w:rsid w:val="00745EBA"/>
    <w:rsid w:val="00750074"/>
    <w:rsid w:val="00755E85"/>
    <w:rsid w:val="00790C11"/>
    <w:rsid w:val="007A2E5A"/>
    <w:rsid w:val="007A7C26"/>
    <w:rsid w:val="008E3F93"/>
    <w:rsid w:val="008F4441"/>
    <w:rsid w:val="00903BA2"/>
    <w:rsid w:val="0095354D"/>
    <w:rsid w:val="00957A81"/>
    <w:rsid w:val="009F7E5F"/>
    <w:rsid w:val="00A02E2B"/>
    <w:rsid w:val="00A06B83"/>
    <w:rsid w:val="00A17432"/>
    <w:rsid w:val="00A21D4B"/>
    <w:rsid w:val="00A23A71"/>
    <w:rsid w:val="00A85A67"/>
    <w:rsid w:val="00A90958"/>
    <w:rsid w:val="00A968EB"/>
    <w:rsid w:val="00AD3E5A"/>
    <w:rsid w:val="00AD5FBC"/>
    <w:rsid w:val="00C2471D"/>
    <w:rsid w:val="00C35DA5"/>
    <w:rsid w:val="00C431A3"/>
    <w:rsid w:val="00C526E0"/>
    <w:rsid w:val="00C67328"/>
    <w:rsid w:val="00CA11BB"/>
    <w:rsid w:val="00CA1EBC"/>
    <w:rsid w:val="00D01DF5"/>
    <w:rsid w:val="00D076DC"/>
    <w:rsid w:val="00D150FB"/>
    <w:rsid w:val="00D30B38"/>
    <w:rsid w:val="00D457CD"/>
    <w:rsid w:val="00D5797A"/>
    <w:rsid w:val="00D73A2F"/>
    <w:rsid w:val="00DB5B0E"/>
    <w:rsid w:val="00DE02F3"/>
    <w:rsid w:val="00E35B53"/>
    <w:rsid w:val="00E63F3C"/>
    <w:rsid w:val="00E93D44"/>
    <w:rsid w:val="00EC4EB7"/>
    <w:rsid w:val="00EC72F8"/>
    <w:rsid w:val="00ED5A20"/>
    <w:rsid w:val="00F01076"/>
    <w:rsid w:val="00F03B7C"/>
    <w:rsid w:val="00F43CB4"/>
    <w:rsid w:val="00F47977"/>
    <w:rsid w:val="00F856C2"/>
    <w:rsid w:val="00F93584"/>
    <w:rsid w:val="00FA6ED5"/>
    <w:rsid w:val="00FB1211"/>
    <w:rsid w:val="00FC5532"/>
    <w:rsid w:val="00FD7677"/>
    <w:rsid w:val="00FE1C84"/>
    <w:rsid w:val="00FF64D3"/>
    <w:rsid w:val="01120791"/>
    <w:rsid w:val="03467F22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117CC2"/>
    <w:rsid w:val="3B6B584A"/>
    <w:rsid w:val="3BA96182"/>
    <w:rsid w:val="3DC74EB7"/>
    <w:rsid w:val="3E5C1938"/>
    <w:rsid w:val="3E964963"/>
    <w:rsid w:val="40141058"/>
    <w:rsid w:val="407E4A91"/>
    <w:rsid w:val="42B775C7"/>
    <w:rsid w:val="44354C47"/>
    <w:rsid w:val="446F7A2D"/>
    <w:rsid w:val="454E6873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字符"/>
    <w:basedOn w:val="12"/>
    <w:link w:val="3"/>
    <w:qFormat/>
    <w:uiPriority w:val="99"/>
  </w:style>
  <w:style w:type="character" w:customStyle="1" w:styleId="19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字符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字符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848</Words>
  <Characters>4840</Characters>
  <Lines>40</Lines>
  <Paragraphs>11</Paragraphs>
  <TotalTime>1</TotalTime>
  <ScaleCrop>false</ScaleCrop>
  <LinksUpToDate>false</LinksUpToDate>
  <CharactersWithSpaces>5677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麒麟之子</cp:lastModifiedBy>
  <cp:lastPrinted>2023-06-27T02:37:00Z</cp:lastPrinted>
  <dcterms:modified xsi:type="dcterms:W3CDTF">2023-11-20T14:25:00Z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B907FED82F5B445E80A727C4253048AA_13</vt:lpwstr>
  </property>
</Properties>
</file>