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ascii="Times New Roman" w:hAnsi="Times New Roman" w:eastAsia="黑体" w:cs="Times New Roman"/>
          <w:b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0288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MLCqIbYAAAADQEAAA8AAAAAAAAAAQAgAAAA&#10;IgAAAGRycy9kb3ducmV2LnhtbFBLAQIUABQAAAAIAIdO4kCbfchGfQIAAEAFAAAOAAAAAAAAAAEA&#10;IAAAACcBAABkcnMvZTJvRG9jLnhtbFBLBQYAAAAABgAGAFkBAAAWBgAAAAA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</w:rPr>
        <w:t>《专业实践（</w:t>
      </w: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  <w:lang w:eastAsia="zh-CN"/>
        </w:rPr>
        <w:t>艺术</w:t>
      </w:r>
      <w:r>
        <w:rPr>
          <w:rFonts w:ascii="Times New Roman" w:hAnsi="Times New Roman" w:eastAsia="黑体" w:cs="Times New Roman"/>
          <w:b/>
          <w:kern w:val="0"/>
          <w:sz w:val="32"/>
          <w:szCs w:val="32"/>
        </w:rPr>
        <w:t>考察</w:t>
      </w: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</w:rPr>
        <w:t>）》实习/实训课程教学大纲</w:t>
      </w:r>
    </w:p>
    <w:p>
      <w:pPr>
        <w:spacing w:line="360" w:lineRule="auto"/>
        <w:ind w:firstLine="562" w:firstLineChars="200"/>
        <w:rPr>
          <w:rFonts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kern w:val="0"/>
          <w:sz w:val="28"/>
          <w:szCs w:val="28"/>
        </w:rPr>
        <w:t>一、课程简介</w:t>
      </w:r>
    </w:p>
    <w:tbl>
      <w:tblPr>
        <w:tblStyle w:val="10"/>
        <w:tblpPr w:leftFromText="180" w:rightFromText="180" w:vertAnchor="text" w:horzAnchor="margin" w:tblpXSpec="center" w:tblpY="152"/>
        <w:tblW w:w="4999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1"/>
        <w:gridCol w:w="2026"/>
        <w:gridCol w:w="1099"/>
        <w:gridCol w:w="59"/>
        <w:gridCol w:w="1198"/>
        <w:gridCol w:w="305"/>
        <w:gridCol w:w="487"/>
        <w:gridCol w:w="442"/>
        <w:gridCol w:w="962"/>
        <w:gridCol w:w="123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专业实践（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艺术考察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课程英文名</w:t>
            </w:r>
          </w:p>
        </w:tc>
        <w:tc>
          <w:tcPr>
            <w:tcW w:w="2786" w:type="pct"/>
            <w:gridSpan w:val="6"/>
            <w:vAlign w:val="center"/>
          </w:tcPr>
          <w:p>
            <w:pPr>
              <w:tabs>
                <w:tab w:val="center" w:pos="3556"/>
                <w:tab w:val="left" w:pos="4421"/>
              </w:tabs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宋体" w:cs="Times New Roman"/>
                <w:w w:val="90"/>
                <w:sz w:val="18"/>
                <w:szCs w:val="18"/>
              </w:rPr>
              <w:t>Professional practice</w:t>
            </w:r>
            <w:r>
              <w:rPr>
                <w:rFonts w:hint="eastAsia" w:ascii="宋体" w:cs="Times New Roman"/>
                <w:w w:val="90"/>
                <w:sz w:val="18"/>
                <w:szCs w:val="18"/>
              </w:rPr>
              <w:t>（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art investigation</w:t>
            </w:r>
            <w:r>
              <w:rPr>
                <w:rFonts w:hint="eastAsia" w:ascii="宋体" w:cs="Times New Roman"/>
                <w:w w:val="90"/>
                <w:sz w:val="18"/>
                <w:szCs w:val="18"/>
              </w:rPr>
              <w:t>）</w:t>
            </w:r>
          </w:p>
        </w:tc>
        <w:tc>
          <w:tcPr>
            <w:tcW w:w="756" w:type="pct"/>
            <w:gridSpan w:val="2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双语授课</w:t>
            </w:r>
          </w:p>
        </w:tc>
        <w:tc>
          <w:tcPr>
            <w:tcW w:w="666" w:type="pct"/>
            <w:vAlign w:val="center"/>
          </w:tcPr>
          <w:p>
            <w:pPr>
              <w:snapToGrid w:val="0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Cs/>
                <w:szCs w:val="21"/>
                <w:lang w:bidi="ar"/>
              </w:rPr>
              <w:sym w:font="Wingdings 2" w:char="00A3"/>
            </w:r>
            <w:r>
              <w:rPr>
                <w:rFonts w:hint="eastAsia" w:hAnsi="宋体"/>
                <w:bCs/>
                <w:szCs w:val="21"/>
                <w:lang w:bidi="ar"/>
              </w:rPr>
              <w:t xml:space="preserve">是 </w:t>
            </w:r>
            <w:r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>
              <w:rPr>
                <w:rFonts w:hint="eastAsia" w:hAnsi="宋体"/>
                <w:bCs/>
                <w:szCs w:val="21"/>
                <w:lang w:bidi="ar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课程代码</w:t>
            </w:r>
          </w:p>
        </w:tc>
        <w:tc>
          <w:tcPr>
            <w:tcW w:w="1091" w:type="pc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13114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017</w:t>
            </w:r>
          </w:p>
        </w:tc>
        <w:tc>
          <w:tcPr>
            <w:tcW w:w="624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课程</w:t>
            </w:r>
            <w:r>
              <w:rPr>
                <w:rFonts w:ascii="Times New Roman" w:hAnsi="Times New Roman" w:eastAsia="宋体" w:cs="Times New Roman"/>
                <w:b/>
                <w:szCs w:val="21"/>
              </w:rPr>
              <w:t>学分</w:t>
            </w:r>
          </w:p>
        </w:tc>
        <w:tc>
          <w:tcPr>
            <w:tcW w:w="645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</w:t>
            </w:r>
          </w:p>
        </w:tc>
        <w:tc>
          <w:tcPr>
            <w:tcW w:w="664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周（学时）</w:t>
            </w:r>
          </w:p>
        </w:tc>
        <w:tc>
          <w:tcPr>
            <w:tcW w:w="1184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周（</w:t>
            </w:r>
            <w:r>
              <w:rPr>
                <w:rFonts w:ascii="Times New Roman" w:hAnsi="Times New Roman" w:eastAsia="宋体" w:cs="Times New Roman"/>
                <w:szCs w:val="21"/>
              </w:rPr>
              <w:t>40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学时）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备注：每周计20学时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课程类别</w:t>
            </w:r>
          </w:p>
        </w:tc>
        <w:tc>
          <w:tcPr>
            <w:tcW w:w="1091" w:type="pct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专业认知实习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bCs/>
                <w:szCs w:val="21"/>
              </w:rPr>
            </w:pPr>
            <w:r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>
              <w:rPr>
                <w:rFonts w:hint="eastAsia"/>
                <w:bCs/>
                <w:szCs w:val="21"/>
              </w:rPr>
              <w:t>专业见习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工程实训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毕业实习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其他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 </w:t>
            </w:r>
          </w:p>
        </w:tc>
        <w:tc>
          <w:tcPr>
            <w:tcW w:w="624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课程性质</w:t>
            </w:r>
          </w:p>
        </w:tc>
        <w:tc>
          <w:tcPr>
            <w:tcW w:w="645" w:type="pct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Ansi="宋体" w:eastAsia="宋体"/>
                <w:bCs/>
                <w:szCs w:val="21"/>
              </w:rPr>
            </w:pPr>
            <w:r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>
              <w:rPr>
                <w:rFonts w:hAnsi="宋体" w:eastAsia="宋体"/>
                <w:bCs/>
                <w:szCs w:val="21"/>
              </w:rPr>
              <w:t>必修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□</w:t>
            </w:r>
            <w:r>
              <w:rPr>
                <w:rFonts w:hint="eastAsia" w:hAnsi="宋体" w:eastAsia="宋体"/>
                <w:bCs/>
                <w:szCs w:val="21"/>
              </w:rPr>
              <w:t>选修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□</w:t>
            </w:r>
            <w:r>
              <w:rPr>
                <w:rFonts w:hint="eastAsia" w:hAnsi="宋体" w:eastAsia="宋体"/>
                <w:bCs/>
                <w:szCs w:val="21"/>
              </w:rPr>
              <w:t>其他</w:t>
            </w:r>
          </w:p>
        </w:tc>
        <w:tc>
          <w:tcPr>
            <w:tcW w:w="664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课程形态</w:t>
            </w:r>
          </w:p>
        </w:tc>
        <w:tc>
          <w:tcPr>
            <w:tcW w:w="1184" w:type="pct"/>
            <w:gridSpan w:val="2"/>
            <w:vAlign w:val="center"/>
          </w:tcPr>
          <w:p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□线上</w:t>
            </w:r>
          </w:p>
          <w:p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>
              <w:rPr>
                <w:rFonts w:hint="eastAsia" w:hAnsi="宋体"/>
                <w:szCs w:val="21"/>
                <w:lang w:bidi="ar"/>
              </w:rPr>
              <w:t>线下</w:t>
            </w:r>
          </w:p>
          <w:p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□线上线下混合式</w:t>
            </w:r>
          </w:p>
          <w:p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int="eastAsia" w:hAnsi="宋体"/>
                <w:szCs w:val="21"/>
                <w:lang w:bidi="ar"/>
              </w:rPr>
              <w:t>□社会实践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□虚拟仿真实验教学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 xml:space="preserve">□闭卷  □开卷  □课程论文 </w:t>
            </w:r>
            <w:r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>
              <w:rPr>
                <w:rFonts w:hint="eastAsia" w:hAnsi="宋体"/>
                <w:szCs w:val="21"/>
                <w:lang w:bidi="ar"/>
              </w:rPr>
              <w:t xml:space="preserve">课程作品  □汇报展示 </w:t>
            </w:r>
            <w:r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>
              <w:rPr>
                <w:rFonts w:hint="eastAsia" w:hAnsi="宋体"/>
                <w:szCs w:val="21"/>
                <w:lang w:bidi="ar"/>
              </w:rPr>
              <w:t xml:space="preserve">报告  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□课堂表现  □阶段性测试  □平时作业   □其他（可多选）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>
            <w:pPr>
              <w:jc w:val="center"/>
              <w:rPr>
                <w:rFonts w:hAnsi="宋体"/>
                <w:b/>
                <w:szCs w:val="21"/>
                <w:lang w:bidi="ar"/>
              </w:rPr>
            </w:pPr>
            <w:r>
              <w:rPr>
                <w:rFonts w:hint="eastAsia" w:hAnsi="宋体"/>
                <w:b/>
                <w:szCs w:val="21"/>
                <w:lang w:bidi="ar"/>
              </w:rPr>
              <w:t>开课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  <w:lang w:bidi="ar"/>
              </w:rPr>
              <w:t>系(教研室)</w:t>
            </w:r>
          </w:p>
        </w:tc>
        <w:tc>
          <w:tcPr>
            <w:tcW w:w="1684" w:type="pct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美术学系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雕塑专业</w:t>
            </w:r>
          </w:p>
        </w:tc>
        <w:tc>
          <w:tcPr>
            <w:tcW w:w="841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开课学期</w:t>
            </w:r>
          </w:p>
        </w:tc>
        <w:tc>
          <w:tcPr>
            <w:tcW w:w="1684" w:type="pct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第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eastAsia="宋体" w:cs="Times New Roman"/>
                <w:szCs w:val="21"/>
              </w:rPr>
              <w:t>学期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冯昌泰</w:t>
            </w:r>
          </w:p>
        </w:tc>
        <w:tc>
          <w:tcPr>
            <w:tcW w:w="841" w:type="pct"/>
            <w:gridSpan w:val="3"/>
            <w:vAlign w:val="center"/>
          </w:tcPr>
          <w:p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审核人</w:t>
            </w:r>
          </w:p>
        </w:tc>
        <w:tc>
          <w:tcPr>
            <w:tcW w:w="1684" w:type="pct"/>
            <w:gridSpan w:val="4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彭博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《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泥塑（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120公分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人体挂布）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《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泥塑（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人体速塑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）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color w:val="FF0000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 xml:space="preserve">1.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隋建国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.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雕塑基础教程</w:t>
            </w:r>
            <w:r>
              <w:rPr>
                <w:rFonts w:ascii="Times New Roman" w:hAnsi="Times New Roman" w:eastAsia="宋体" w:cs="Times New Roman"/>
                <w:szCs w:val="21"/>
              </w:rPr>
              <w:t>（第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一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版）[M].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石家庄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: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河北</w:t>
            </w:r>
            <w:r>
              <w:rPr>
                <w:rFonts w:ascii="Times New Roman" w:hAnsi="Times New Roman" w:eastAsia="宋体" w:cs="Times New Roman"/>
                <w:szCs w:val="21"/>
              </w:rPr>
              <w:t>教育出版社, 2007.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1. 王子云. 中国雕塑艺术史（第一版）[M]. 北京: 人民美术出版社, 2012.</w:t>
            </w:r>
          </w:p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. 冯骥才. 中国民间泥彩塑</w:t>
            </w:r>
            <w:r>
              <w:rPr>
                <w:rFonts w:ascii="Times New Roman" w:hAnsi="Times New Roman" w:eastAsia="宋体" w:cs="Times New Roman"/>
                <w:szCs w:val="21"/>
              </w:rPr>
              <w:t>集成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（第一版）[M]. 西安: 陕西</w:t>
            </w:r>
            <w:r>
              <w:rPr>
                <w:rFonts w:ascii="Times New Roman" w:hAnsi="Times New Roman" w:eastAsia="宋体" w:cs="Times New Roman"/>
                <w:szCs w:val="21"/>
              </w:rPr>
              <w:t>师范大学出版总社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, 2012.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eastAsia="宋体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8" w:hRule="atLeast"/>
        </w:trPr>
        <w:tc>
          <w:tcPr>
            <w:tcW w:w="792" w:type="pct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Ansi="宋体" w:eastAsia="宋体"/>
                <w:b/>
                <w:bCs/>
                <w:szCs w:val="21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hint="eastAsia" w:ascii="Times New Roman" w:hAnsi="Times New Roman" w:eastAsia="宋体"/>
                <w:color w:val="FF000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本课程是雕塑专业的实践课程，也是雕塑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考察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课程的重要构成。本课程</w:t>
            </w:r>
            <w:r>
              <w:rPr>
                <w:rFonts w:ascii="Times New Roman" w:hAnsi="Times New Roman" w:eastAsia="宋体" w:cs="Times New Roman"/>
                <w:szCs w:val="21"/>
              </w:rPr>
              <w:t>旨在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拓宽学生视野，增强对实地、实际、</w:t>
            </w:r>
            <w:r>
              <w:rPr>
                <w:rFonts w:ascii="Times New Roman" w:hAnsi="Times New Roman" w:eastAsia="宋体" w:cs="Times New Roman"/>
                <w:szCs w:val="21"/>
              </w:rPr>
              <w:t>实物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的系统认识，深化专业理论知识。通过组织学生</w:t>
            </w:r>
            <w:r>
              <w:rPr>
                <w:rFonts w:ascii="Times New Roman" w:hAnsi="Times New Roman" w:eastAsia="宋体" w:cs="Times New Roman"/>
                <w:szCs w:val="21"/>
              </w:rPr>
              <w:t>实地考察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全国范围内的古代雕塑、城市</w:t>
            </w:r>
            <w:r>
              <w:rPr>
                <w:rFonts w:ascii="Times New Roman" w:hAnsi="Times New Roman" w:eastAsia="宋体" w:cs="Times New Roman"/>
                <w:szCs w:val="21"/>
              </w:rPr>
              <w:t>雕塑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、雕塑工厂</w:t>
            </w:r>
            <w:r>
              <w:rPr>
                <w:rFonts w:ascii="Times New Roman" w:hAnsi="Times New Roman" w:eastAsia="宋体" w:cs="Times New Roman"/>
                <w:szCs w:val="21"/>
              </w:rPr>
              <w:t>及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艺术院校雕塑专业</w:t>
            </w:r>
            <w:r>
              <w:rPr>
                <w:rFonts w:ascii="Times New Roman" w:hAnsi="Times New Roman" w:eastAsia="宋体" w:cs="Times New Roman"/>
                <w:szCs w:val="21"/>
              </w:rPr>
              <w:t>，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强化学生对雕塑的正确认知、理性态度和价值认同，使学生对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现当代雕塑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艺术的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认识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形成切身感知，了解传统雕塑及传统文化遗址的历史传承；了解经济文化发展状况以及城市雕塑的需求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进而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拓宽艺术视野。</w:t>
            </w:r>
          </w:p>
        </w:tc>
      </w:tr>
    </w:tbl>
    <w:p>
      <w:pPr>
        <w:autoSpaceDE w:val="0"/>
        <w:autoSpaceDN w:val="0"/>
        <w:adjustRightInd w:val="0"/>
        <w:snapToGrid w:val="0"/>
        <w:spacing w:line="360" w:lineRule="auto"/>
        <w:ind w:firstLine="562" w:firstLineChars="200"/>
        <w:jc w:val="left"/>
        <w:rPr>
          <w:rFonts w:ascii="黑体" w:hAnsi="黑体" w:eastAsia="黑体" w:cs="黑体"/>
          <w:b/>
          <w:kern w:val="0"/>
          <w:sz w:val="28"/>
          <w:szCs w:val="28"/>
        </w:rPr>
      </w:pPr>
      <w:r>
        <w:rPr>
          <w:rFonts w:hint="eastAsia" w:ascii="黑体" w:hAnsi="黑体" w:eastAsia="黑体" w:cs="黑体"/>
          <w:b/>
          <w:kern w:val="0"/>
          <w:sz w:val="28"/>
          <w:szCs w:val="28"/>
        </w:rPr>
        <w:t>二、课程目标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表1  </w:t>
      </w:r>
      <w:r>
        <w:rPr>
          <w:rFonts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课程目标</w:t>
      </w:r>
    </w:p>
    <w:tbl>
      <w:tblPr>
        <w:tblStyle w:val="11"/>
        <w:tblW w:w="93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9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793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具体课程目标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课程目标1</w:t>
            </w: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ascii="Times" w:hAnsi="Times"/>
                <w:szCs w:val="22"/>
              </w:rPr>
              <w:t>本课程是雕塑专业重要的实践环节。通过本课程的学习，</w:t>
            </w:r>
            <w:r>
              <w:rPr>
                <w:rFonts w:ascii="Times" w:hAnsi="Times"/>
              </w:rPr>
              <w:t>认识我国传统文化和风土人情，熟悉传统雕塑的历史演变，理解不同时期、不同地域雕塑艺术的观念、特征及影响，</w:t>
            </w:r>
            <w:r>
              <w:rPr>
                <w:rFonts w:ascii="Times" w:hAnsi="Times"/>
                <w:szCs w:val="22"/>
              </w:rPr>
              <w:t>了解传统文化的内涵和表现形式，熟悉传统文化的寓意与构成方式，激发对传统民族艺术的热爱；</w:t>
            </w:r>
            <w:r>
              <w:rPr>
                <w:rFonts w:ascii="Times" w:hAnsi="Times"/>
              </w:rPr>
              <w:t>了解地域文化经济结构以及传统雕塑保护现状；锻炼学生对所学专业市场的调研能力，树立强烈的市场调查意识，培养学生理论与实际相结合的能力和创造性思维；达到收集素材，开阔眼界、提高素养的目的，同时具备基本的阅读能力、文字表达能力和对事物的认知能力。能够运用以上基本技能较好的完成毕业创作的文案写作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课程目标2</w:t>
            </w: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ascii="Times" w:hAnsi="Times"/>
                <w:szCs w:val="22"/>
              </w:rPr>
              <w:t>通过本课程的学习，了解民族文化内涵与表现形式，</w:t>
            </w:r>
            <w:r>
              <w:rPr>
                <w:rFonts w:ascii="Times" w:hAnsi="Times"/>
              </w:rPr>
              <w:t>增强对传统文化和风土人情的认识，通过教师现场讲解了解不同时期雕塑在塑造风格上的不同特征；</w:t>
            </w:r>
            <w:r>
              <w:rPr>
                <w:rFonts w:ascii="Times" w:hAnsi="Times"/>
                <w:szCs w:val="22"/>
              </w:rPr>
              <w:t>加强基本表现技能的训练</w:t>
            </w:r>
            <w:r>
              <w:rPr>
                <w:rFonts w:ascii="Times" w:hAnsi="Times"/>
              </w:rPr>
              <w:t>；熟练运用泥及其它不同材料在三维空间中面进行浮雕、圆雕写生与创作；</w:t>
            </w:r>
            <w:r>
              <w:rPr>
                <w:rFonts w:ascii="Times" w:hAnsi="Times"/>
                <w:szCs w:val="22"/>
              </w:rPr>
              <w:t>掌握收集素材的要领和方式，具备分析、判断、取舍与概括提炼的能力</w:t>
            </w:r>
            <w:r>
              <w:rPr>
                <w:rFonts w:ascii="Times" w:hAnsi="Times"/>
              </w:rPr>
              <w:t>；能够运用课堂所学知识较好的进行毕业创作和相关雕塑艺术创作。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课程目标3</w:t>
            </w:r>
          </w:p>
        </w:tc>
        <w:tc>
          <w:tcPr>
            <w:tcW w:w="7938" w:type="dxa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" w:hAnsi="Times"/>
              </w:rPr>
              <w:t>具有融合创新的雕塑设计意识，具备将传统文化元素消化吸收并融入创作成为创新点的能力；具有较高的科学文化素质和艺术素养，具有较高审美水平、良好的沟通能力以及团队合作精神，以应对时代及社会发展需要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课程目标4</w:t>
            </w:r>
          </w:p>
        </w:tc>
        <w:tc>
          <w:tcPr>
            <w:tcW w:w="7938" w:type="dxa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" w:hAnsi="Times"/>
              </w:rPr>
              <w:t>具有一定的人文社会科学以及自然科学的基本理论知识，具有独立获取知识、提出问题、分析问题和解决问题的能力，有一定的科研能力，有较好的职业生涯规划能力。</w:t>
            </w:r>
          </w:p>
        </w:tc>
      </w:tr>
    </w:tbl>
    <w:p>
      <w:pPr>
        <w:spacing w:line="360" w:lineRule="auto"/>
        <w:jc w:val="left"/>
        <w:rPr>
          <w:rFonts w:ascii="Times New Roman" w:hAnsi="Times New Roman" w:eastAsia="宋体" w:cs="Times New Roman"/>
          <w:color w:val="FF0000"/>
          <w:szCs w:val="21"/>
        </w:rPr>
      </w:pPr>
    </w:p>
    <w:p>
      <w:pPr>
        <w:pStyle w:val="21"/>
        <w:spacing w:line="320" w:lineRule="exact"/>
        <w:ind w:left="420" w:firstLine="422"/>
        <w:jc w:val="center"/>
        <w:rPr>
          <w:rFonts w:ascii="Times New Roman" w:eastAsia="宋体"/>
          <w:b/>
          <w:szCs w:val="21"/>
        </w:rPr>
      </w:pPr>
      <w:r>
        <w:rPr>
          <w:rFonts w:hint="eastAsia" w:ascii="Times New Roman"/>
          <w:b/>
          <w:szCs w:val="21"/>
        </w:rPr>
        <w:t>表2-1 课程目标与毕业要求对应关系</w:t>
      </w:r>
    </w:p>
    <w:tbl>
      <w:tblPr>
        <w:tblStyle w:val="10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6"/>
        <w:gridCol w:w="3846"/>
        <w:gridCol w:w="13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tblHeader/>
          <w:jc w:val="center"/>
        </w:trPr>
        <w:tc>
          <w:tcPr>
            <w:tcW w:w="2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/>
                <w:b/>
                <w:color w:val="000000"/>
                <w:szCs w:val="21"/>
              </w:rPr>
            </w:pPr>
            <w:r>
              <w:rPr>
                <w:rFonts w:hint="eastAsia" w:ascii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/>
                <w:b/>
                <w:color w:val="000000"/>
                <w:szCs w:val="21"/>
              </w:rPr>
            </w:pPr>
            <w:r>
              <w:rPr>
                <w:rFonts w:hint="eastAsia" w:ascii="Times New Roman"/>
                <w:b/>
                <w:color w:val="000000"/>
                <w:szCs w:val="21"/>
              </w:rPr>
              <w:t>指标点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/>
                <w:b/>
                <w:color w:val="000000"/>
                <w:szCs w:val="21"/>
              </w:rPr>
            </w:pPr>
            <w:r>
              <w:rPr>
                <w:rFonts w:hint="eastAsia" w:ascii="Times New Roman"/>
                <w:b/>
                <w:color w:val="000000"/>
                <w:szCs w:val="21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2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毕业要求3：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学科知识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【M】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3.1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了解艺术发展的本质与规律，熟悉中外雕塑的历史发展与演变，理解不同时期、不同地域雕塑艺术的观念、特征及影响。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221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/>
                <w:b/>
                <w:color w:val="000000"/>
                <w:szCs w:val="21"/>
              </w:rPr>
              <w:t>5</w:t>
            </w:r>
            <w:r>
              <w:rPr>
                <w:rFonts w:hint="eastAsia" w:ascii="Times New Roman"/>
                <w:b/>
                <w:color w:val="000000"/>
                <w:szCs w:val="21"/>
              </w:rPr>
              <w:t>：</w:t>
            </w:r>
            <w:r>
              <w:rPr>
                <w:rFonts w:hint="eastAsia" w:ascii="Times New Roman" w:cs="Times New Roman"/>
                <w:color w:val="000000"/>
                <w:szCs w:val="21"/>
              </w:rPr>
              <w:t>应用能力【</w:t>
            </w:r>
            <w:r>
              <w:rPr>
                <w:rFonts w:ascii="Times New Roman" w:cs="Times New Roman"/>
                <w:color w:val="000000"/>
                <w:szCs w:val="21"/>
              </w:rPr>
              <w:t>L</w:t>
            </w:r>
            <w:r>
              <w:rPr>
                <w:rFonts w:hint="eastAsia" w:asci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/>
                <w:color w:val="000000"/>
                <w:szCs w:val="21"/>
              </w:rPr>
              <w:t>5.2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具有较高的科学文化素质和艺术素养。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 w:cs="Times New Roman"/>
                <w:color w:val="00000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21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color w:val="000000"/>
                <w:szCs w:val="21"/>
              </w:rPr>
              <w:t>5.3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具有较高审美水平、良好的沟通能力以及团队合作精神，以应对时代及社会发展需要。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 w:cs="Times New Roman"/>
                <w:color w:val="00000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/>
                <w:b/>
                <w:color w:val="000000"/>
                <w:szCs w:val="21"/>
              </w:rPr>
              <w:t>7</w:t>
            </w:r>
            <w:r>
              <w:rPr>
                <w:rFonts w:hint="eastAsia" w:ascii="Times New Roman"/>
                <w:b/>
                <w:color w:val="000000"/>
                <w:szCs w:val="21"/>
              </w:rPr>
              <w:t>：</w:t>
            </w:r>
            <w:r>
              <w:rPr>
                <w:rFonts w:hint="eastAsia" w:ascii="Times New Roman" w:cs="Times New Roman"/>
                <w:color w:val="000000"/>
                <w:szCs w:val="21"/>
              </w:rPr>
              <w:t>综合能力【H】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 w:cs="Times New Roman"/>
                <w:color w:val="000000"/>
                <w:szCs w:val="21"/>
              </w:rPr>
              <w:t>7</w:t>
            </w:r>
            <w:r>
              <w:rPr>
                <w:rFonts w:ascii="Times New Roman" w:cs="Times New Roman"/>
                <w:color w:val="000000"/>
                <w:szCs w:val="21"/>
              </w:rPr>
              <w:t>.3</w:t>
            </w:r>
            <w:r>
              <w:rPr>
                <w:rFonts w:hint="eastAsia" w:ascii="Times New Roman" w:cs="Times New Roman"/>
                <w:color w:val="000000"/>
                <w:szCs w:val="21"/>
              </w:rPr>
              <w:t>理解并掌握本专业领域的设计项目管理原理与科学决策方法，并能在多学科环境中应用，有效推动工作运行。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 w:cs="Times New Roman"/>
                <w:color w:val="000000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221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/>
                <w:b/>
                <w:color w:val="000000"/>
                <w:szCs w:val="21"/>
              </w:rPr>
              <w:t>4</w:t>
            </w:r>
            <w:r>
              <w:rPr>
                <w:rFonts w:hint="eastAsia" w:ascii="Times New Roman"/>
                <w:b/>
                <w:color w:val="000000"/>
                <w:szCs w:val="21"/>
              </w:rPr>
              <w:t>：</w:t>
            </w:r>
            <w:r>
              <w:rPr>
                <w:rFonts w:hint="eastAsia" w:ascii="Times New Roman" w:cs="Times New Roman"/>
                <w:color w:val="000000"/>
                <w:szCs w:val="21"/>
              </w:rPr>
              <w:t>专业能力【</w:t>
            </w:r>
            <w:r>
              <w:rPr>
                <w:rFonts w:ascii="Times New Roman" w:cs="Times New Roman"/>
                <w:color w:val="000000"/>
                <w:szCs w:val="21"/>
              </w:rPr>
              <w:t>M</w:t>
            </w:r>
            <w:r>
              <w:rPr>
                <w:rFonts w:hint="eastAsia" w:asci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4.2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熟悉基本的形体造型技巧，熟练掌握雕塑造型的基本规律和基本法则；熟练运用泥及其它不同材料在三维空间中面进行浮雕、圆雕写生与创作。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color w:val="000000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  <w:jc w:val="center"/>
        </w:trPr>
        <w:tc>
          <w:tcPr>
            <w:tcW w:w="221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/>
                <w:b/>
                <w:color w:val="000000"/>
                <w:szCs w:val="21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4.3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具有先进的立体造型理念和较强的创新精神，能够运用课堂所学知识较好地进行毕业创作和相关雕塑艺术创作。</w:t>
            </w:r>
          </w:p>
        </w:tc>
        <w:tc>
          <w:tcPr>
            <w:tcW w:w="713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</w:tr>
    </w:tbl>
    <w:p>
      <w:pPr>
        <w:pStyle w:val="4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</w:p>
    <w:p>
      <w:pPr>
        <w:pStyle w:val="4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hint="eastAsia" w:ascii="Times New Roman" w:eastAsia="黑体" w:cs="Times New Roman"/>
          <w:b/>
          <w:sz w:val="28"/>
          <w:szCs w:val="28"/>
        </w:rPr>
        <w:t>三、</w:t>
      </w:r>
      <w:r>
        <w:rPr>
          <w:rFonts w:ascii="Times New Roman" w:eastAsia="黑体" w:cs="Times New Roman"/>
          <w:b/>
          <w:sz w:val="28"/>
          <w:szCs w:val="28"/>
        </w:rPr>
        <w:t>教学内容</w:t>
      </w:r>
      <w:r>
        <w:rPr>
          <w:rFonts w:hint="eastAsia" w:ascii="Times New Roman" w:eastAsia="黑体" w:cs="Times New Roman"/>
          <w:b/>
          <w:sz w:val="28"/>
          <w:szCs w:val="28"/>
        </w:rPr>
        <w:t>及要求</w:t>
      </w:r>
    </w:p>
    <w:p>
      <w:pPr>
        <w:adjustRightInd w:val="0"/>
        <w:snapToGrid w:val="0"/>
        <w:spacing w:line="400" w:lineRule="exact"/>
        <w:ind w:firstLine="482" w:firstLineChars="200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b/>
          <w:kern w:val="0"/>
          <w:sz w:val="24"/>
          <w:szCs w:val="24"/>
        </w:rPr>
        <w:t>（一）学习内容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艺术考察内容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（1）考察历史文化、民族民间文化和民居；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（2）考察大型雕塑设计公司、雕塑铸造公司及基地；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（3）考察传统雕塑、民族民间雕塑以及民风民俗；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（4）参观美术馆、博物馆；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（5）广泛进行社会和市场调查；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（6）撰写考察报告。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2.艺术实践内容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美术资料收集和雕塑、绘画写生，为毕业创作和毕业文案积累第一手材料。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工作流程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任课教师讲解相关知识及注意事项；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（2）考察当地古代石刻，由专业人员讲解相关知识；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（3）考察当地专业院校，进入课堂深入了解相关专业知识；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（4）参观当地美术馆、博物馆，由教师讲解相关知识；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（5）回校撰写考察报告；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业务指导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校内老师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名指导与课程相关的学术知识；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校外老师多名指导具体知识点的专业知识；</w:t>
      </w:r>
    </w:p>
    <w:p>
      <w:pPr>
        <w:adjustRightInd w:val="0"/>
        <w:snapToGrid w:val="0"/>
        <w:spacing w:line="400" w:lineRule="exact"/>
        <w:ind w:left="210" w:leftChars="100" w:firstLine="241" w:firstLineChars="100"/>
        <w:rPr>
          <w:rFonts w:ascii="Times New Roman" w:hAnsi="Times New Roman" w:eastAsia="黑体" w:cs="Times New Roman"/>
          <w:b/>
          <w:kern w:val="0"/>
          <w:sz w:val="24"/>
          <w:szCs w:val="24"/>
        </w:rPr>
      </w:pPr>
      <w:r>
        <w:rPr>
          <w:rFonts w:hint="eastAsia" w:ascii="Times New Roman" w:hAnsi="Times New Roman" w:eastAsia="黑体" w:cs="Times New Roman"/>
          <w:b/>
          <w:kern w:val="0"/>
          <w:sz w:val="24"/>
          <w:szCs w:val="24"/>
        </w:rPr>
        <w:t>（二）时间安排</w:t>
      </w:r>
    </w:p>
    <w:p>
      <w:pPr>
        <w:numPr>
          <w:ilvl w:val="0"/>
          <w:numId w:val="0"/>
        </w:numPr>
        <w:snapToGrid w:val="0"/>
        <w:spacing w:beforeLines="0" w:afterLines="0" w:line="400" w:lineRule="exact"/>
        <w:ind w:firstLine="660" w:firstLineChars="300"/>
        <w:rPr>
          <w:rFonts w:hint="eastAsia" w:ascii="Times" w:hAnsi="Times"/>
          <w:sz w:val="22"/>
          <w:szCs w:val="24"/>
          <w:lang w:val="en-US" w:eastAsia="zh-CN"/>
        </w:rPr>
      </w:pPr>
      <w:r>
        <w:rPr>
          <w:rFonts w:hint="eastAsia" w:ascii="Times" w:hAnsi="Times"/>
          <w:sz w:val="22"/>
          <w:szCs w:val="24"/>
          <w:lang w:val="en-US" w:eastAsia="zh-CN"/>
        </w:rPr>
        <w:t>1.考察当地古代石刻；</w:t>
      </w:r>
    </w:p>
    <w:p>
      <w:pPr>
        <w:numPr>
          <w:ilvl w:val="0"/>
          <w:numId w:val="0"/>
        </w:numPr>
        <w:snapToGrid w:val="0"/>
        <w:spacing w:beforeLines="0" w:afterLines="0" w:line="400" w:lineRule="exact"/>
        <w:ind w:firstLine="660" w:firstLineChars="300"/>
        <w:rPr>
          <w:rFonts w:hint="default" w:ascii="Times" w:hAnsi="Times"/>
          <w:sz w:val="22"/>
          <w:szCs w:val="24"/>
          <w:lang w:val="en-US" w:eastAsia="zh-CN"/>
        </w:rPr>
      </w:pPr>
      <w:r>
        <w:rPr>
          <w:rFonts w:hint="eastAsia" w:ascii="Times" w:hAnsi="Times"/>
          <w:sz w:val="22"/>
          <w:szCs w:val="24"/>
          <w:lang w:val="en-US" w:eastAsia="zh-CN"/>
        </w:rPr>
        <w:t>2.考察当地专业院校；</w:t>
      </w:r>
    </w:p>
    <w:p>
      <w:pPr>
        <w:numPr>
          <w:ilvl w:val="0"/>
          <w:numId w:val="0"/>
        </w:numPr>
        <w:snapToGrid w:val="0"/>
        <w:spacing w:beforeLines="0" w:afterLines="0" w:line="400" w:lineRule="exact"/>
        <w:ind w:firstLine="660" w:firstLineChars="300"/>
        <w:rPr>
          <w:rFonts w:hint="default" w:ascii="Times" w:hAnsi="Times"/>
          <w:sz w:val="22"/>
          <w:szCs w:val="24"/>
          <w:lang w:val="en-US" w:eastAsia="zh-CN"/>
        </w:rPr>
      </w:pPr>
      <w:r>
        <w:rPr>
          <w:rFonts w:hint="eastAsia" w:ascii="Times" w:hAnsi="Times"/>
          <w:sz w:val="22"/>
          <w:szCs w:val="24"/>
          <w:lang w:val="en-US" w:eastAsia="zh-CN"/>
        </w:rPr>
        <w:t>3.考察当地风土人情；</w:t>
      </w:r>
    </w:p>
    <w:p>
      <w:pPr>
        <w:numPr>
          <w:ilvl w:val="0"/>
          <w:numId w:val="0"/>
        </w:numPr>
        <w:snapToGrid w:val="0"/>
        <w:spacing w:beforeLines="0" w:afterLines="0" w:line="400" w:lineRule="exact"/>
        <w:ind w:firstLine="660" w:firstLineChars="300"/>
        <w:rPr>
          <w:rFonts w:hint="default" w:ascii="Times" w:hAnsi="Times"/>
          <w:sz w:val="22"/>
          <w:szCs w:val="24"/>
          <w:lang w:val="en-US" w:eastAsia="zh-CN"/>
        </w:rPr>
      </w:pPr>
      <w:r>
        <w:rPr>
          <w:rFonts w:hint="eastAsia" w:ascii="Times" w:hAnsi="Times"/>
          <w:sz w:val="22"/>
          <w:szCs w:val="24"/>
          <w:lang w:val="en-US" w:eastAsia="zh-CN"/>
        </w:rPr>
        <w:t>4.参观当地美术馆、博物馆；</w:t>
      </w:r>
    </w:p>
    <w:p>
      <w:pPr>
        <w:numPr>
          <w:ilvl w:val="0"/>
          <w:numId w:val="0"/>
        </w:numPr>
        <w:snapToGrid w:val="0"/>
        <w:spacing w:beforeLines="0" w:afterLines="0" w:line="400" w:lineRule="exact"/>
        <w:ind w:firstLine="660" w:firstLineChars="300"/>
        <w:rPr>
          <w:rFonts w:hint="default" w:ascii="Times" w:hAnsi="Times"/>
          <w:sz w:val="22"/>
          <w:szCs w:val="24"/>
          <w:lang w:val="en-US" w:eastAsia="zh-CN"/>
        </w:rPr>
      </w:pPr>
      <w:r>
        <w:rPr>
          <w:rFonts w:hint="eastAsia" w:ascii="Times" w:hAnsi="Times"/>
          <w:sz w:val="22"/>
          <w:szCs w:val="24"/>
          <w:lang w:val="en-US" w:eastAsia="zh-CN"/>
        </w:rPr>
        <w:t>5.回校撰写考察报告；</w:t>
      </w:r>
    </w:p>
    <w:p>
      <w:pPr>
        <w:adjustRightInd w:val="0"/>
        <w:snapToGrid w:val="0"/>
        <w:spacing w:line="400" w:lineRule="exact"/>
        <w:ind w:firstLine="482" w:firstLineChars="200"/>
        <w:rPr>
          <w:rFonts w:ascii="Times New Roman" w:hAnsi="Times New Roman" w:eastAsia="黑体" w:cs="Times New Roman"/>
          <w:b/>
          <w:kern w:val="0"/>
          <w:sz w:val="24"/>
          <w:szCs w:val="24"/>
        </w:rPr>
      </w:pPr>
      <w:r>
        <w:rPr>
          <w:rFonts w:hint="eastAsia" w:ascii="Times New Roman" w:hAnsi="Times New Roman" w:eastAsia="黑体" w:cs="Times New Roman"/>
          <w:b/>
          <w:kern w:val="0"/>
          <w:sz w:val="24"/>
          <w:szCs w:val="24"/>
        </w:rPr>
        <w:t>（三）工作流程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1.实地考察前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，在教师指导下拟定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考察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计划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报告选题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及创作选题。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2.赴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实地进行考察调研，收集相关素材资料，并实际参与相关实践活动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3.考察结束后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，回校整理相关素材资料，完成报告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撰写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和作品。</w:t>
      </w:r>
    </w:p>
    <w:p>
      <w:pPr>
        <w:adjustRightInd w:val="0"/>
        <w:snapToGrid w:val="0"/>
        <w:spacing w:line="400" w:lineRule="exact"/>
        <w:ind w:firstLine="482" w:firstLineChars="200"/>
        <w:rPr>
          <w:rFonts w:ascii="Times New Roman" w:hAnsi="Times New Roman" w:eastAsia="黑体" w:cs="Times New Roman"/>
          <w:b/>
          <w:kern w:val="0"/>
          <w:sz w:val="24"/>
          <w:szCs w:val="24"/>
        </w:rPr>
      </w:pPr>
      <w:r>
        <w:rPr>
          <w:rFonts w:hint="eastAsia" w:ascii="Times New Roman" w:hAnsi="Times New Roman" w:eastAsia="黑体" w:cs="Times New Roman"/>
          <w:b/>
          <w:kern w:val="0"/>
          <w:sz w:val="24"/>
          <w:szCs w:val="24"/>
        </w:rPr>
        <w:t>（四）业务指导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1.校内老师1名负责指导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报告撰写和创作实践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6" w:h="16838"/>
          <w:pgMar w:top="1417" w:right="1417" w:bottom="1417" w:left="1417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2.校外老师1名或多名指导考察地生产实践。</w:t>
      </w:r>
    </w:p>
    <w:p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="120" w:afterLines="50"/>
        <w:ind w:left="0" w:leftChars="0" w:firstLine="0" w:firstLineChars="0"/>
        <w:jc w:val="left"/>
        <w:rPr>
          <w:rFonts w:hint="default" w:ascii="Times New Roman" w:hAnsi="Times New Roman" w:eastAsia="黑体" w:cs="Times New Roman"/>
          <w:kern w:val="0"/>
        </w:rPr>
      </w:pPr>
      <w:bookmarkStart w:id="0" w:name="_GoBack"/>
      <w:bookmarkEnd w:id="0"/>
      <w:r>
        <w:rPr>
          <w:rFonts w:ascii="Times New Roman" w:hAnsi="Times New Roman" w:eastAsia="黑体" w:cs="Times New Roman"/>
          <w:kern w:val="0"/>
        </w:rPr>
        <w:t>四、课程考核</w:t>
      </w:r>
    </w:p>
    <w:p>
      <w:pPr>
        <w:kinsoku w:val="0"/>
        <w:overflowPunct w:val="0"/>
        <w:autoSpaceDE w:val="0"/>
        <w:autoSpaceDN w:val="0"/>
        <w:adjustRightInd w:val="0"/>
        <w:spacing w:before="86" w:line="400" w:lineRule="exact"/>
        <w:ind w:firstLine="482" w:firstLineChars="200"/>
        <w:rPr>
          <w:rFonts w:ascii="宋体" w:hAnsi="Times New Roman" w:eastAsia="宋体" w:cs="宋体"/>
          <w:color w:val="FF0000"/>
          <w:spacing w:val="-3"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（一）考核内容与考核方式</w:t>
      </w:r>
    </w:p>
    <w:p>
      <w:pPr>
        <w:pStyle w:val="4"/>
        <w:kinsoku w:val="0"/>
        <w:overflowPunct w:val="0"/>
        <w:spacing w:before="66"/>
        <w:jc w:val="center"/>
        <w:rPr>
          <w:color w:val="FF0000"/>
          <w:spacing w:val="-3"/>
        </w:rPr>
      </w:pPr>
      <w:r>
        <w:rPr>
          <w:rFonts w:hint="eastAsia" w:ascii="Times New Roman" w:cs="Times New Roman"/>
          <w:b/>
          <w:sz w:val="21"/>
          <w:szCs w:val="21"/>
        </w:rPr>
        <w:t>表3 课程目标、考核内容与考核方式对应关系</w:t>
      </w:r>
    </w:p>
    <w:tbl>
      <w:tblPr>
        <w:tblStyle w:val="10"/>
        <w:tblW w:w="5043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0"/>
        <w:gridCol w:w="3398"/>
        <w:gridCol w:w="1752"/>
        <w:gridCol w:w="1032"/>
        <w:gridCol w:w="162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课程目标</w:t>
            </w:r>
          </w:p>
        </w:tc>
        <w:tc>
          <w:tcPr>
            <w:tcW w:w="1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考核内容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所属环节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考核</w:t>
            </w:r>
          </w:p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占比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考核方式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7" w:hRule="atLeast"/>
        </w:trPr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1</w:t>
            </w:r>
          </w:p>
        </w:tc>
        <w:tc>
          <w:tcPr>
            <w:tcW w:w="339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sz w:val="21"/>
                <w:szCs w:val="21"/>
              </w:rPr>
            </w:pPr>
          </w:p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了解雕塑发展历史及其演变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sz w:val="21"/>
                <w:szCs w:val="21"/>
              </w:rPr>
            </w:pPr>
          </w:p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学习中外雕塑史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10%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平时作业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</w:trPr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2</w:t>
            </w:r>
          </w:p>
        </w:tc>
        <w:tc>
          <w:tcPr>
            <w:tcW w:w="339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sz w:val="21"/>
                <w:szCs w:val="21"/>
              </w:rPr>
            </w:pPr>
          </w:p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考察传统雕塑、民族民间雕塑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sz w:val="21"/>
                <w:szCs w:val="21"/>
              </w:rPr>
            </w:pPr>
          </w:p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外出考察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25%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平时作业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3</w:t>
            </w:r>
          </w:p>
        </w:tc>
        <w:tc>
          <w:tcPr>
            <w:tcW w:w="339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snapToGrid w:val="0"/>
              <w:spacing w:line="400" w:lineRule="exact"/>
              <w:ind w:firstLine="210" w:firstLineChars="100"/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  <w:p>
            <w:pPr>
              <w:snapToGrid w:val="0"/>
              <w:spacing w:line="400" w:lineRule="exact"/>
              <w:ind w:firstLine="840" w:firstLineChars="400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参观美术馆、博物馆</w:t>
            </w:r>
          </w:p>
          <w:p>
            <w:pPr>
              <w:pStyle w:val="24"/>
              <w:kinsoku w:val="0"/>
              <w:overflowPunct w:val="0"/>
              <w:spacing w:before="25"/>
              <w:ind w:left="107" w:leftChars="0" w:firstLine="210" w:firstLineChars="100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  <w:p>
            <w:pPr>
              <w:pStyle w:val="24"/>
              <w:kinsoku w:val="0"/>
              <w:overflowPunct w:val="0"/>
              <w:ind w:firstLine="420" w:firstLineChars="200"/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外出考察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5"/>
              <w:ind w:left="183" w:leftChars="0" w:right="177" w:rightChars="0"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25%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leftChars="0" w:right="101" w:rightChars="0" w:hanging="132" w:firstLineChars="0"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平时作业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7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4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撰写考察报告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撰写考察报告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40%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平时作业</w:t>
            </w:r>
          </w:p>
        </w:tc>
      </w:tr>
    </w:tbl>
    <w:p>
      <w:pPr>
        <w:kinsoku w:val="0"/>
        <w:overflowPunct w:val="0"/>
        <w:autoSpaceDE w:val="0"/>
        <w:autoSpaceDN w:val="0"/>
        <w:adjustRightInd w:val="0"/>
        <w:spacing w:before="8"/>
        <w:ind w:firstLine="241" w:firstLineChars="100"/>
        <w:rPr>
          <w:rFonts w:ascii="黑体" w:hAnsi="黑体" w:eastAsia="黑体" w:cs="黑体"/>
          <w:b/>
          <w:sz w:val="24"/>
          <w:szCs w:val="24"/>
        </w:rPr>
      </w:pPr>
    </w:p>
    <w:p>
      <w:pPr>
        <w:kinsoku w:val="0"/>
        <w:overflowPunct w:val="0"/>
        <w:autoSpaceDE w:val="0"/>
        <w:autoSpaceDN w:val="0"/>
        <w:adjustRightInd w:val="0"/>
        <w:spacing w:before="8"/>
        <w:ind w:firstLine="482" w:firstLineChars="200"/>
        <w:rPr>
          <w:rFonts w:ascii="黑体" w:hAnsi="黑体" w:eastAsia="黑体" w:cs="黑体"/>
          <w:b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（二）成绩评定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 New Roman" w:eastAsia="宋体" w:cs="Times"/>
          <w:b/>
          <w:kern w:val="0"/>
          <w:sz w:val="24"/>
          <w:szCs w:val="24"/>
        </w:rPr>
      </w:pPr>
      <w:r>
        <w:rPr>
          <w:rFonts w:ascii="Times" w:hAnsi="Times" w:eastAsia="宋体" w:cs="Times"/>
          <w:b/>
          <w:kern w:val="0"/>
          <w:sz w:val="24"/>
          <w:szCs w:val="24"/>
        </w:rPr>
        <w:t>1</w:t>
      </w:r>
      <w:r>
        <w:rPr>
          <w:rFonts w:ascii="Times" w:hAnsi="Times New Roman" w:eastAsia="宋体" w:cs="Times"/>
          <w:b/>
          <w:kern w:val="0"/>
          <w:sz w:val="24"/>
          <w:szCs w:val="24"/>
        </w:rPr>
        <w:t>.</w:t>
      </w:r>
      <w:r>
        <w:rPr>
          <w:rFonts w:hint="eastAsia" w:ascii="Times" w:hAnsi="Times" w:eastAsia="宋体" w:cs="Times"/>
          <w:b/>
          <w:kern w:val="0"/>
          <w:sz w:val="24"/>
          <w:szCs w:val="24"/>
        </w:rPr>
        <w:t>平时成绩评定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ascii="Times" w:hAnsi="Times New Roman" w:eastAsia="宋体" w:cs="Times"/>
          <w:kern w:val="0"/>
          <w:sz w:val="24"/>
          <w:szCs w:val="24"/>
        </w:rPr>
      </w:pPr>
      <w:r>
        <w:rPr>
          <w:rFonts w:hint="eastAsia" w:ascii="Times" w:hAnsi="Times" w:eastAsia="宋体" w:cs="Times"/>
          <w:kern w:val="0"/>
          <w:sz w:val="24"/>
          <w:szCs w:val="24"/>
        </w:rPr>
        <w:t>平时成绩（</w:t>
      </w:r>
      <w:r>
        <w:rPr>
          <w:rFonts w:ascii="Times" w:hAnsi="Times" w:eastAsia="宋体" w:cs="Times"/>
          <w:kern w:val="0"/>
          <w:sz w:val="24"/>
          <w:szCs w:val="24"/>
        </w:rPr>
        <w:t>100%</w:t>
      </w:r>
      <w:r>
        <w:rPr>
          <w:rFonts w:hint="eastAsia" w:ascii="Times" w:hAnsi="Times" w:eastAsia="宋体" w:cs="Times"/>
          <w:kern w:val="0"/>
          <w:sz w:val="24"/>
          <w:szCs w:val="24"/>
        </w:rPr>
        <w:t>）</w:t>
      </w:r>
      <w:r>
        <w:rPr>
          <w:rFonts w:ascii="Times" w:hAnsi="Times" w:eastAsia="宋体" w:cs="Times"/>
          <w:kern w:val="0"/>
          <w:sz w:val="24"/>
          <w:szCs w:val="24"/>
        </w:rPr>
        <w:t>=</w:t>
      </w:r>
      <w:r>
        <w:rPr>
          <w:rFonts w:hint="eastAsia" w:ascii="Times" w:hAnsi="Times" w:eastAsia="宋体" w:cs="Times"/>
          <w:kern w:val="0"/>
          <w:sz w:val="24"/>
          <w:szCs w:val="24"/>
        </w:rPr>
        <w:t>调研过程（</w:t>
      </w:r>
      <w:r>
        <w:rPr>
          <w:rFonts w:ascii="Times" w:hAnsi="Times" w:eastAsia="宋体" w:cs="Times"/>
          <w:kern w:val="0"/>
          <w:sz w:val="24"/>
          <w:szCs w:val="24"/>
        </w:rPr>
        <w:t>60%</w:t>
      </w:r>
      <w:r>
        <w:rPr>
          <w:rFonts w:hint="eastAsia" w:ascii="Times" w:hAnsi="Times" w:eastAsia="宋体" w:cs="Times"/>
          <w:kern w:val="0"/>
          <w:sz w:val="24"/>
          <w:szCs w:val="24"/>
        </w:rPr>
        <w:t>）</w:t>
      </w:r>
      <w:r>
        <w:rPr>
          <w:rFonts w:ascii="Times" w:hAnsi="Times" w:eastAsia="宋体" w:cs="Times"/>
          <w:kern w:val="0"/>
          <w:sz w:val="24"/>
          <w:szCs w:val="24"/>
        </w:rPr>
        <w:t>+</w:t>
      </w:r>
      <w:r>
        <w:rPr>
          <w:rFonts w:hint="eastAsia" w:ascii="Times" w:hAnsi="Times" w:eastAsia="宋体" w:cs="Times"/>
          <w:kern w:val="0"/>
          <w:sz w:val="24"/>
          <w:szCs w:val="24"/>
        </w:rPr>
        <w:t>课堂表现（</w:t>
      </w:r>
      <w:r>
        <w:rPr>
          <w:rFonts w:ascii="Times" w:hAnsi="Times" w:eastAsia="宋体" w:cs="Times"/>
          <w:kern w:val="0"/>
          <w:sz w:val="24"/>
          <w:szCs w:val="24"/>
        </w:rPr>
        <w:t>30%</w:t>
      </w:r>
      <w:r>
        <w:rPr>
          <w:rFonts w:hint="eastAsia" w:ascii="Times" w:hAnsi="Times" w:eastAsia="宋体" w:cs="Times"/>
          <w:kern w:val="0"/>
          <w:sz w:val="24"/>
          <w:szCs w:val="24"/>
        </w:rPr>
        <w:t>）</w:t>
      </w:r>
      <w:r>
        <w:rPr>
          <w:rFonts w:ascii="Times" w:hAnsi="Times" w:eastAsia="宋体" w:cs="Times"/>
          <w:kern w:val="0"/>
          <w:sz w:val="24"/>
          <w:szCs w:val="24"/>
        </w:rPr>
        <w:t>+</w:t>
      </w:r>
      <w:r>
        <w:rPr>
          <w:rFonts w:hint="eastAsia" w:ascii="Times" w:hAnsi="Times" w:eastAsia="宋体" w:cs="Times"/>
          <w:kern w:val="0"/>
          <w:sz w:val="24"/>
          <w:szCs w:val="24"/>
        </w:rPr>
        <w:t>出勤情况（</w:t>
      </w:r>
      <w:r>
        <w:rPr>
          <w:rFonts w:ascii="Times" w:hAnsi="Times" w:eastAsia="宋体" w:cs="Times"/>
          <w:kern w:val="0"/>
          <w:sz w:val="24"/>
          <w:szCs w:val="24"/>
        </w:rPr>
        <w:t>10</w:t>
      </w:r>
      <w:r>
        <w:rPr>
          <w:rFonts w:hint="eastAsia" w:ascii="Times" w:hAnsi="Times" w:eastAsia="宋体" w:cs="Times"/>
          <w:kern w:val="0"/>
          <w:sz w:val="24"/>
          <w:szCs w:val="24"/>
        </w:rPr>
        <w:t>%）</w:t>
      </w:r>
    </w:p>
    <w:p>
      <w:pPr>
        <w:snapToGrid w:val="0"/>
        <w:spacing w:line="400" w:lineRule="exact"/>
        <w:ind w:firstLine="422" w:firstLineChars="200"/>
        <w:jc w:val="center"/>
        <w:rPr>
          <w:rFonts w:ascii="Times" w:hAnsi="Times" w:cs="Times"/>
          <w:b/>
          <w:szCs w:val="21"/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平时成绩评分标准</w:t>
      </w:r>
    </w:p>
    <w:p>
      <w:pPr>
        <w:snapToGrid w:val="0"/>
        <w:spacing w:line="400" w:lineRule="exact"/>
        <w:ind w:firstLine="422" w:firstLineChars="200"/>
        <w:rPr>
          <w:rFonts w:ascii="Times" w:hAnsi="Times" w:cs="Times"/>
          <w:b/>
          <w:szCs w:val="21"/>
        </w:rPr>
      </w:pPr>
      <w:r>
        <w:rPr>
          <w:rFonts w:hint="eastAsia" w:ascii="Times" w:hAnsi="Times" w:cs="Times"/>
          <w:b/>
          <w:szCs w:val="21"/>
        </w:rPr>
        <w:t>（1）平时成绩一</w:t>
      </w:r>
    </w:p>
    <w:tbl>
      <w:tblPr>
        <w:tblStyle w:val="10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559"/>
        <w:gridCol w:w="1559"/>
        <w:gridCol w:w="1560"/>
        <w:gridCol w:w="1701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hint="eastAsia" w:ascii="Times" w:hAnsi="Times" w:cs="Times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(x </w:t>
            </w:r>
            <w:r>
              <w:rPr>
                <w:rFonts w:hint="eastAsia" w:ascii="Times New Roman" w:hAnsi="Times New Roman" w:cs="Times New Roman"/>
                <w:szCs w:val="21"/>
              </w:rPr>
              <w:t>≤59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调研过程</w:t>
            </w:r>
          </w:p>
        </w:tc>
        <w:tc>
          <w:tcPr>
            <w:tcW w:w="1559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调研</w:t>
            </w:r>
            <w:r>
              <w:rPr>
                <w:rFonts w:ascii="Times New Roman" w:hAnsi="Times New Roman" w:cs="Times New Roman"/>
                <w:szCs w:val="21"/>
              </w:rPr>
              <w:t>前期准备充分，</w:t>
            </w:r>
            <w:r>
              <w:rPr>
                <w:rFonts w:hint="eastAsia" w:ascii="Times New Roman" w:hAnsi="Times New Roman" w:cs="Times New Roman"/>
                <w:szCs w:val="21"/>
              </w:rPr>
              <w:t>资料</w:t>
            </w:r>
            <w:r>
              <w:rPr>
                <w:rFonts w:ascii="Times New Roman" w:hAnsi="Times New Roman" w:cs="Times New Roman"/>
                <w:szCs w:val="21"/>
              </w:rPr>
              <w:t>素材收集全面，目的明确，计划清晰；</w:t>
            </w:r>
            <w:r>
              <w:rPr>
                <w:rFonts w:hint="eastAsia" w:ascii="Times New Roman" w:hAnsi="Times New Roman" w:cs="Times New Roman"/>
                <w:szCs w:val="21"/>
              </w:rPr>
              <w:t>调研过程中</w:t>
            </w:r>
            <w:r>
              <w:rPr>
                <w:rFonts w:ascii="Times New Roman" w:hAnsi="Times New Roman" w:cs="Times New Roman"/>
                <w:szCs w:val="21"/>
              </w:rPr>
              <w:t>，具有充分的积极性和主动性，能够与教师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同学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调研对象积极交流专业问题，并能够</w:t>
            </w:r>
            <w:r>
              <w:rPr>
                <w:rFonts w:hint="eastAsia" w:ascii="Times New Roman" w:hAnsi="Times New Roman" w:cs="Times New Roman"/>
                <w:szCs w:val="21"/>
              </w:rPr>
              <w:t>自主查阅</w:t>
            </w:r>
            <w:r>
              <w:rPr>
                <w:rFonts w:ascii="Times New Roman" w:hAnsi="Times New Roman" w:cs="Times New Roman"/>
                <w:szCs w:val="21"/>
              </w:rPr>
              <w:t>资料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收集素材</w:t>
            </w:r>
            <w:r>
              <w:rPr>
                <w:rFonts w:hint="eastAsia" w:ascii="Times New Roman" w:hAnsi="Times New Roman" w:cs="Times New Roman"/>
                <w:szCs w:val="21"/>
              </w:rPr>
              <w:t>以</w:t>
            </w:r>
            <w:r>
              <w:rPr>
                <w:rFonts w:ascii="Times New Roman" w:hAnsi="Times New Roman" w:cs="Times New Roman"/>
                <w:szCs w:val="21"/>
              </w:rPr>
              <w:t>改进</w:t>
            </w:r>
            <w:r>
              <w:rPr>
                <w:rFonts w:hint="eastAsia" w:ascii="Times New Roman" w:hAnsi="Times New Roman" w:cs="Times New Roman"/>
                <w:szCs w:val="21"/>
              </w:rPr>
              <w:t>调查报告；调研</w:t>
            </w:r>
            <w:r>
              <w:rPr>
                <w:rFonts w:ascii="Times New Roman" w:hAnsi="Times New Roman" w:cs="Times New Roman"/>
                <w:szCs w:val="21"/>
              </w:rPr>
              <w:t>完成后能够</w:t>
            </w:r>
            <w:r>
              <w:rPr>
                <w:rFonts w:hint="eastAsia" w:ascii="Times New Roman" w:hAnsi="Times New Roman" w:cs="Times New Roman"/>
                <w:szCs w:val="21"/>
              </w:rPr>
              <w:t>针对</w:t>
            </w:r>
            <w:r>
              <w:rPr>
                <w:rFonts w:ascii="Times New Roman" w:hAnsi="Times New Roman" w:cs="Times New Roman"/>
                <w:szCs w:val="21"/>
              </w:rPr>
              <w:t>不足，主动反思并提出</w:t>
            </w:r>
            <w:r>
              <w:rPr>
                <w:rFonts w:hint="eastAsia" w:ascii="Times New Roman" w:hAnsi="Times New Roman" w:cs="Times New Roman"/>
                <w:szCs w:val="21"/>
              </w:rPr>
              <w:t>切实可行</w:t>
            </w:r>
            <w:r>
              <w:rPr>
                <w:rFonts w:ascii="Times New Roman" w:hAnsi="Times New Roman" w:cs="Times New Roman"/>
                <w:szCs w:val="21"/>
              </w:rPr>
              <w:t>的整改方案。</w:t>
            </w:r>
          </w:p>
        </w:tc>
        <w:tc>
          <w:tcPr>
            <w:tcW w:w="1559" w:type="dxa"/>
            <w:shd w:val="clear" w:color="auto" w:fill="auto"/>
          </w:tcPr>
          <w:p>
            <w:r>
              <w:rPr>
                <w:rFonts w:hint="eastAsia" w:ascii="Times New Roman" w:hAnsi="Times New Roman" w:cs="Times New Roman"/>
                <w:szCs w:val="21"/>
              </w:rPr>
              <w:t>调研</w:t>
            </w:r>
            <w:r>
              <w:rPr>
                <w:rFonts w:ascii="Times New Roman" w:hAnsi="Times New Roman" w:cs="Times New Roman"/>
                <w:szCs w:val="21"/>
              </w:rPr>
              <w:t>前期准备</w:t>
            </w:r>
            <w:r>
              <w:rPr>
                <w:rFonts w:hint="eastAsia" w:ascii="Times New Roman" w:hAnsi="Times New Roman" w:cs="Times New Roman"/>
                <w:szCs w:val="21"/>
              </w:rPr>
              <w:t>比较</w:t>
            </w:r>
            <w:r>
              <w:rPr>
                <w:rFonts w:ascii="Times New Roman" w:hAnsi="Times New Roman" w:cs="Times New Roman"/>
                <w:szCs w:val="21"/>
              </w:rPr>
              <w:t>充分，</w:t>
            </w:r>
            <w:r>
              <w:rPr>
                <w:rFonts w:hint="eastAsia" w:ascii="Times New Roman" w:hAnsi="Times New Roman" w:cs="Times New Roman"/>
                <w:szCs w:val="21"/>
              </w:rPr>
              <w:t>资料</w:t>
            </w:r>
            <w:r>
              <w:rPr>
                <w:rFonts w:ascii="Times New Roman" w:hAnsi="Times New Roman" w:cs="Times New Roman"/>
                <w:szCs w:val="21"/>
              </w:rPr>
              <w:t>素材收集</w:t>
            </w:r>
            <w:r>
              <w:rPr>
                <w:rFonts w:hint="eastAsia" w:ascii="Times New Roman" w:hAnsi="Times New Roman" w:cs="Times New Roman"/>
                <w:szCs w:val="21"/>
              </w:rPr>
              <w:t>比较</w:t>
            </w:r>
            <w:r>
              <w:rPr>
                <w:rFonts w:ascii="Times New Roman" w:hAnsi="Times New Roman" w:cs="Times New Roman"/>
                <w:szCs w:val="21"/>
              </w:rPr>
              <w:t>全面，目的</w:t>
            </w:r>
            <w:r>
              <w:rPr>
                <w:rFonts w:hint="eastAsia" w:ascii="Times New Roman" w:hAnsi="Times New Roman" w:cs="Times New Roman"/>
                <w:szCs w:val="21"/>
              </w:rPr>
              <w:t>比较</w:t>
            </w:r>
            <w:r>
              <w:rPr>
                <w:rFonts w:ascii="Times New Roman" w:hAnsi="Times New Roman" w:cs="Times New Roman"/>
                <w:szCs w:val="21"/>
              </w:rPr>
              <w:t>明确，计划</w:t>
            </w:r>
            <w:r>
              <w:rPr>
                <w:rFonts w:hint="eastAsia" w:ascii="Times New Roman" w:hAnsi="Times New Roman" w:cs="Times New Roman"/>
                <w:szCs w:val="21"/>
              </w:rPr>
              <w:t>比较</w:t>
            </w:r>
            <w:r>
              <w:rPr>
                <w:rFonts w:ascii="Times New Roman" w:hAnsi="Times New Roman" w:cs="Times New Roman"/>
                <w:szCs w:val="21"/>
              </w:rPr>
              <w:t>清晰；</w:t>
            </w:r>
            <w:r>
              <w:rPr>
                <w:rFonts w:hint="eastAsia" w:ascii="Times New Roman" w:hAnsi="Times New Roman" w:cs="Times New Roman"/>
                <w:szCs w:val="21"/>
              </w:rPr>
              <w:t>调研过程中</w:t>
            </w:r>
            <w:r>
              <w:rPr>
                <w:rFonts w:ascii="Times New Roman" w:hAnsi="Times New Roman" w:cs="Times New Roman"/>
                <w:szCs w:val="21"/>
              </w:rPr>
              <w:t>，具有</w:t>
            </w:r>
            <w:r>
              <w:rPr>
                <w:rFonts w:hint="eastAsia" w:ascii="Times New Roman" w:hAnsi="Times New Roman" w:cs="Times New Roman"/>
                <w:szCs w:val="21"/>
              </w:rPr>
              <w:t>较强</w:t>
            </w:r>
            <w:r>
              <w:rPr>
                <w:rFonts w:ascii="Times New Roman" w:hAnsi="Times New Roman" w:cs="Times New Roman"/>
                <w:szCs w:val="21"/>
              </w:rPr>
              <w:t>的积极性和主动性，能够与教师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同学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调研对象交流专业问题，并能够</w:t>
            </w:r>
            <w:r>
              <w:rPr>
                <w:rFonts w:hint="eastAsia" w:ascii="Times New Roman" w:hAnsi="Times New Roman" w:cs="Times New Roman"/>
                <w:szCs w:val="21"/>
              </w:rPr>
              <w:t>在</w:t>
            </w:r>
            <w:r>
              <w:rPr>
                <w:rFonts w:ascii="Times New Roman" w:hAnsi="Times New Roman" w:cs="Times New Roman"/>
                <w:szCs w:val="21"/>
              </w:rPr>
              <w:t>教师指导下</w:t>
            </w:r>
            <w:r>
              <w:rPr>
                <w:rFonts w:hint="eastAsia" w:ascii="Times New Roman" w:hAnsi="Times New Roman" w:cs="Times New Roman"/>
                <w:szCs w:val="21"/>
              </w:rPr>
              <w:t>查阅</w:t>
            </w:r>
            <w:r>
              <w:rPr>
                <w:rFonts w:ascii="Times New Roman" w:hAnsi="Times New Roman" w:cs="Times New Roman"/>
                <w:szCs w:val="21"/>
              </w:rPr>
              <w:t>资料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收集素材</w:t>
            </w:r>
            <w:r>
              <w:rPr>
                <w:rFonts w:hint="eastAsia" w:ascii="Times New Roman" w:hAnsi="Times New Roman" w:cs="Times New Roman"/>
                <w:szCs w:val="21"/>
              </w:rPr>
              <w:t>以</w:t>
            </w:r>
            <w:r>
              <w:rPr>
                <w:rFonts w:ascii="Times New Roman" w:hAnsi="Times New Roman" w:cs="Times New Roman"/>
                <w:szCs w:val="21"/>
              </w:rPr>
              <w:t>改进</w:t>
            </w:r>
            <w:r>
              <w:rPr>
                <w:rFonts w:hint="eastAsia" w:ascii="Times New Roman" w:hAnsi="Times New Roman" w:cs="Times New Roman"/>
                <w:szCs w:val="21"/>
              </w:rPr>
              <w:t>调查报告；调研</w:t>
            </w:r>
            <w:r>
              <w:rPr>
                <w:rFonts w:ascii="Times New Roman" w:hAnsi="Times New Roman" w:cs="Times New Roman"/>
                <w:szCs w:val="21"/>
              </w:rPr>
              <w:t>完成后能够</w:t>
            </w:r>
            <w:r>
              <w:rPr>
                <w:rFonts w:hint="eastAsia" w:ascii="Times New Roman" w:hAnsi="Times New Roman" w:cs="Times New Roman"/>
                <w:szCs w:val="21"/>
              </w:rPr>
              <w:t>针对</w:t>
            </w:r>
            <w:r>
              <w:rPr>
                <w:rFonts w:ascii="Times New Roman" w:hAnsi="Times New Roman" w:cs="Times New Roman"/>
                <w:szCs w:val="21"/>
              </w:rPr>
              <w:t>不足，反思并提出</w:t>
            </w:r>
            <w:r>
              <w:rPr>
                <w:rFonts w:hint="eastAsia" w:ascii="Times New Roman" w:hAnsi="Times New Roman" w:cs="Times New Roman"/>
                <w:szCs w:val="21"/>
              </w:rPr>
              <w:t>可行</w:t>
            </w:r>
            <w:r>
              <w:rPr>
                <w:rFonts w:ascii="Times New Roman" w:hAnsi="Times New Roman" w:cs="Times New Roman"/>
                <w:szCs w:val="21"/>
              </w:rPr>
              <w:t>的整改方案。</w:t>
            </w:r>
          </w:p>
        </w:tc>
        <w:tc>
          <w:tcPr>
            <w:tcW w:w="1560" w:type="dxa"/>
            <w:shd w:val="clear" w:color="auto" w:fill="auto"/>
          </w:tcPr>
          <w:p>
            <w:r>
              <w:rPr>
                <w:rFonts w:hint="eastAsia" w:ascii="Times New Roman" w:hAnsi="Times New Roman" w:cs="Times New Roman"/>
                <w:szCs w:val="21"/>
              </w:rPr>
              <w:t>调研</w:t>
            </w:r>
            <w:r>
              <w:rPr>
                <w:rFonts w:ascii="Times New Roman" w:hAnsi="Times New Roman" w:cs="Times New Roman"/>
                <w:szCs w:val="21"/>
              </w:rPr>
              <w:t>前期准备</w:t>
            </w:r>
            <w:r>
              <w:rPr>
                <w:rFonts w:hint="eastAsia" w:ascii="Times New Roman" w:hAnsi="Times New Roman" w:cs="Times New Roman"/>
                <w:szCs w:val="21"/>
              </w:rPr>
              <w:t>较好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</w:rPr>
              <w:t>资料</w:t>
            </w:r>
            <w:r>
              <w:rPr>
                <w:rFonts w:ascii="Times New Roman" w:hAnsi="Times New Roman" w:cs="Times New Roman"/>
                <w:szCs w:val="21"/>
              </w:rPr>
              <w:t>素材收集</w:t>
            </w:r>
            <w:r>
              <w:rPr>
                <w:rFonts w:hint="eastAsia" w:ascii="Times New Roman" w:hAnsi="Times New Roman" w:cs="Times New Roman"/>
                <w:szCs w:val="21"/>
              </w:rPr>
              <w:t>比较</w:t>
            </w:r>
            <w:r>
              <w:rPr>
                <w:rFonts w:ascii="Times New Roman" w:hAnsi="Times New Roman" w:cs="Times New Roman"/>
                <w:szCs w:val="21"/>
              </w:rPr>
              <w:t>全面，</w:t>
            </w:r>
            <w:r>
              <w:rPr>
                <w:rFonts w:hint="eastAsia" w:ascii="Times New Roman" w:hAnsi="Times New Roman" w:cs="Times New Roman"/>
                <w:szCs w:val="21"/>
              </w:rPr>
              <w:t>有目的</w:t>
            </w:r>
            <w:r>
              <w:rPr>
                <w:rFonts w:ascii="Times New Roman" w:hAnsi="Times New Roman" w:cs="Times New Roman"/>
                <w:szCs w:val="21"/>
              </w:rPr>
              <w:t>，有计划；</w:t>
            </w:r>
            <w:r>
              <w:rPr>
                <w:rFonts w:hint="eastAsia" w:ascii="Times New Roman" w:hAnsi="Times New Roman" w:cs="Times New Roman"/>
                <w:szCs w:val="21"/>
              </w:rPr>
              <w:t>调研过程中</w:t>
            </w:r>
            <w:r>
              <w:rPr>
                <w:rFonts w:ascii="Times New Roman" w:hAnsi="Times New Roman" w:cs="Times New Roman"/>
                <w:szCs w:val="21"/>
              </w:rPr>
              <w:t>，具有</w:t>
            </w:r>
            <w:r>
              <w:rPr>
                <w:rFonts w:hint="eastAsia" w:ascii="Times New Roman" w:hAnsi="Times New Roman" w:cs="Times New Roman"/>
                <w:szCs w:val="21"/>
              </w:rPr>
              <w:t>一定</w:t>
            </w:r>
            <w:r>
              <w:rPr>
                <w:rFonts w:ascii="Times New Roman" w:hAnsi="Times New Roman" w:cs="Times New Roman"/>
                <w:szCs w:val="21"/>
              </w:rPr>
              <w:t>积极性和主动性，能够与教师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同学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调研对象交流专业问题</w:t>
            </w:r>
            <w:r>
              <w:rPr>
                <w:rFonts w:hint="eastAsia" w:ascii="Times New Roman" w:hAnsi="Times New Roman" w:cs="Times New Roman"/>
                <w:szCs w:val="21"/>
              </w:rPr>
              <w:t>；调研</w:t>
            </w:r>
            <w:r>
              <w:rPr>
                <w:rFonts w:ascii="Times New Roman" w:hAnsi="Times New Roman" w:cs="Times New Roman"/>
                <w:szCs w:val="21"/>
              </w:rPr>
              <w:t>完成后能够</w:t>
            </w:r>
            <w:r>
              <w:rPr>
                <w:rFonts w:hint="eastAsia" w:ascii="Times New Roman" w:hAnsi="Times New Roman" w:cs="Times New Roman"/>
                <w:szCs w:val="21"/>
              </w:rPr>
              <w:t>针对</w:t>
            </w:r>
            <w:r>
              <w:rPr>
                <w:rFonts w:ascii="Times New Roman" w:hAnsi="Times New Roman" w:cs="Times New Roman"/>
                <w:szCs w:val="21"/>
              </w:rPr>
              <w:t>不足，</w:t>
            </w:r>
            <w:r>
              <w:rPr>
                <w:rFonts w:hint="eastAsia" w:ascii="Times New Roman" w:hAnsi="Times New Roman" w:cs="Times New Roman"/>
                <w:szCs w:val="21"/>
              </w:rPr>
              <w:t>在教师</w:t>
            </w:r>
            <w:r>
              <w:rPr>
                <w:rFonts w:ascii="Times New Roman" w:hAnsi="Times New Roman" w:cs="Times New Roman"/>
                <w:szCs w:val="21"/>
              </w:rPr>
              <w:t>指导下反思并提出整改方案。</w:t>
            </w:r>
          </w:p>
        </w:tc>
        <w:tc>
          <w:tcPr>
            <w:tcW w:w="1701" w:type="dxa"/>
            <w:shd w:val="clear" w:color="auto" w:fill="auto"/>
          </w:tcPr>
          <w:p>
            <w:r>
              <w:rPr>
                <w:rFonts w:hint="eastAsia" w:ascii="Times New Roman" w:hAnsi="Times New Roman" w:cs="Times New Roman"/>
                <w:szCs w:val="21"/>
              </w:rPr>
              <w:t>调研</w:t>
            </w:r>
            <w:r>
              <w:rPr>
                <w:rFonts w:ascii="Times New Roman" w:hAnsi="Times New Roman" w:cs="Times New Roman"/>
                <w:szCs w:val="21"/>
              </w:rPr>
              <w:t>前期</w:t>
            </w:r>
            <w:r>
              <w:rPr>
                <w:rFonts w:hint="eastAsia" w:ascii="Times New Roman" w:hAnsi="Times New Roman" w:cs="Times New Roman"/>
                <w:szCs w:val="21"/>
              </w:rPr>
              <w:t>有</w:t>
            </w:r>
            <w:r>
              <w:rPr>
                <w:rFonts w:ascii="Times New Roman" w:hAnsi="Times New Roman" w:cs="Times New Roman"/>
                <w:szCs w:val="21"/>
              </w:rPr>
              <w:t>所准备，</w:t>
            </w:r>
            <w:r>
              <w:rPr>
                <w:rFonts w:hint="eastAsia" w:ascii="Times New Roman" w:hAnsi="Times New Roman" w:cs="Times New Roman"/>
                <w:szCs w:val="21"/>
              </w:rPr>
              <w:t>有目的</w:t>
            </w:r>
            <w:r>
              <w:rPr>
                <w:rFonts w:ascii="Times New Roman" w:hAnsi="Times New Roman" w:cs="Times New Roman"/>
                <w:szCs w:val="21"/>
              </w:rPr>
              <w:t>，有计划；</w:t>
            </w:r>
            <w:r>
              <w:rPr>
                <w:rFonts w:hint="eastAsia" w:ascii="Times New Roman" w:hAnsi="Times New Roman" w:cs="Times New Roman"/>
                <w:szCs w:val="21"/>
              </w:rPr>
              <w:t>调研过程中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</w:rPr>
              <w:t>基本</w:t>
            </w:r>
            <w:r>
              <w:rPr>
                <w:rFonts w:ascii="Times New Roman" w:hAnsi="Times New Roman" w:cs="Times New Roman"/>
                <w:szCs w:val="21"/>
              </w:rPr>
              <w:t>能够与教师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同学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调研对象交流专业问题</w:t>
            </w:r>
            <w:r>
              <w:rPr>
                <w:rFonts w:hint="eastAsia" w:ascii="Times New Roman" w:hAnsi="Times New Roman" w:cs="Times New Roman"/>
                <w:szCs w:val="21"/>
              </w:rPr>
              <w:t>；调研</w:t>
            </w:r>
            <w:r>
              <w:rPr>
                <w:rFonts w:ascii="Times New Roman" w:hAnsi="Times New Roman" w:cs="Times New Roman"/>
                <w:szCs w:val="21"/>
              </w:rPr>
              <w:t>完成后</w:t>
            </w:r>
            <w:r>
              <w:rPr>
                <w:rFonts w:hint="eastAsia" w:ascii="Times New Roman" w:hAnsi="Times New Roman" w:cs="Times New Roman"/>
                <w:szCs w:val="21"/>
              </w:rPr>
              <w:t>基本</w:t>
            </w:r>
            <w:r>
              <w:rPr>
                <w:rFonts w:ascii="Times New Roman" w:hAnsi="Times New Roman" w:cs="Times New Roman"/>
                <w:szCs w:val="21"/>
              </w:rPr>
              <w:t>能够</w:t>
            </w:r>
            <w:r>
              <w:rPr>
                <w:rFonts w:hint="eastAsia" w:ascii="Times New Roman" w:hAnsi="Times New Roman" w:cs="Times New Roman"/>
                <w:szCs w:val="21"/>
              </w:rPr>
              <w:t>在教师</w:t>
            </w:r>
            <w:r>
              <w:rPr>
                <w:rFonts w:ascii="Times New Roman" w:hAnsi="Times New Roman" w:cs="Times New Roman"/>
                <w:szCs w:val="21"/>
              </w:rPr>
              <w:t>指导下反思并提出整改方案。</w:t>
            </w:r>
          </w:p>
        </w:tc>
        <w:tc>
          <w:tcPr>
            <w:tcW w:w="1383" w:type="dxa"/>
            <w:shd w:val="clear" w:color="auto" w:fill="auto"/>
          </w:tcPr>
          <w:p>
            <w:r>
              <w:rPr>
                <w:rFonts w:hint="eastAsia" w:ascii="Times New Roman" w:hAnsi="Times New Roman" w:cs="Times New Roman"/>
                <w:szCs w:val="21"/>
              </w:rPr>
              <w:t>调研</w:t>
            </w:r>
            <w:r>
              <w:rPr>
                <w:rFonts w:ascii="Times New Roman" w:hAnsi="Times New Roman" w:cs="Times New Roman"/>
                <w:szCs w:val="21"/>
              </w:rPr>
              <w:t>前期</w:t>
            </w:r>
            <w:r>
              <w:rPr>
                <w:rFonts w:hint="eastAsia" w:ascii="Times New Roman" w:hAnsi="Times New Roman" w:cs="Times New Roman"/>
                <w:szCs w:val="21"/>
              </w:rPr>
              <w:t>无</w:t>
            </w:r>
            <w:r>
              <w:rPr>
                <w:rFonts w:ascii="Times New Roman" w:hAnsi="Times New Roman" w:cs="Times New Roman"/>
                <w:szCs w:val="21"/>
              </w:rPr>
              <w:t>准备</w:t>
            </w:r>
            <w:r>
              <w:rPr>
                <w:rFonts w:hint="eastAsia" w:ascii="Times New Roman" w:hAnsi="Times New Roman" w:cs="Times New Roman"/>
                <w:szCs w:val="21"/>
              </w:rPr>
              <w:t>工作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调研过程中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</w:rPr>
              <w:t>缺少必要</w:t>
            </w:r>
            <w:r>
              <w:rPr>
                <w:rFonts w:ascii="Times New Roman" w:hAnsi="Times New Roman" w:cs="Times New Roman"/>
                <w:szCs w:val="21"/>
              </w:rPr>
              <w:t>的主动性和积极</w:t>
            </w:r>
            <w:r>
              <w:rPr>
                <w:rFonts w:hint="eastAsia" w:ascii="Times New Roman" w:hAnsi="Times New Roman" w:cs="Times New Roman"/>
                <w:szCs w:val="21"/>
              </w:rPr>
              <w:t>性；调研</w:t>
            </w:r>
            <w:r>
              <w:rPr>
                <w:rFonts w:ascii="Times New Roman" w:hAnsi="Times New Roman" w:cs="Times New Roman"/>
                <w:szCs w:val="21"/>
              </w:rPr>
              <w:t>完成后</w:t>
            </w:r>
            <w:r>
              <w:rPr>
                <w:rFonts w:hint="eastAsia" w:ascii="Times New Roman" w:hAnsi="Times New Roman" w:cs="Times New Roman"/>
                <w:szCs w:val="21"/>
              </w:rPr>
              <w:t>不</w:t>
            </w:r>
            <w:r>
              <w:rPr>
                <w:rFonts w:ascii="Times New Roman" w:hAnsi="Times New Roman" w:cs="Times New Roman"/>
                <w:szCs w:val="21"/>
              </w:rPr>
              <w:t>能够提出整改方案。</w:t>
            </w:r>
          </w:p>
        </w:tc>
      </w:tr>
    </w:tbl>
    <w:p>
      <w:pPr>
        <w:snapToGrid w:val="0"/>
        <w:spacing w:line="400" w:lineRule="exact"/>
        <w:ind w:firstLine="422" w:firstLineChars="200"/>
        <w:rPr>
          <w:rFonts w:ascii="Times" w:hAnsi="Times" w:cs="Times"/>
          <w:b/>
          <w:szCs w:val="21"/>
        </w:rPr>
      </w:pPr>
      <w:r>
        <w:rPr>
          <w:rFonts w:hint="eastAsia" w:ascii="Times" w:hAnsi="Times" w:cs="Times"/>
          <w:b/>
          <w:szCs w:val="21"/>
        </w:rPr>
        <w:t>（2）平时成绩二</w:t>
      </w:r>
    </w:p>
    <w:tbl>
      <w:tblPr>
        <w:tblStyle w:val="10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559"/>
        <w:gridCol w:w="1559"/>
        <w:gridCol w:w="1560"/>
        <w:gridCol w:w="1701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hint="eastAsia" w:ascii="Times" w:hAnsi="Times" w:cs="Times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(x </w:t>
            </w:r>
            <w:r>
              <w:rPr>
                <w:rFonts w:hint="eastAsia" w:ascii="Times New Roman" w:hAnsi="Times New Roman" w:cs="Times New Roman"/>
                <w:szCs w:val="21"/>
              </w:rPr>
              <w:t>≤59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课堂表现</w:t>
            </w:r>
          </w:p>
        </w:tc>
        <w:tc>
          <w:tcPr>
            <w:tcW w:w="1559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理论讲授前</w:t>
            </w:r>
            <w:r>
              <w:rPr>
                <w:rFonts w:ascii="Times New Roman" w:hAnsi="Times New Roman" w:cs="Times New Roman"/>
                <w:szCs w:val="21"/>
              </w:rPr>
              <w:t>，能够做到主动查阅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整理必要资料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素材，准备充分，对</w:t>
            </w:r>
            <w:r>
              <w:rPr>
                <w:rFonts w:hint="eastAsia" w:ascii="Times New Roman" w:hAnsi="Times New Roman" w:cs="Times New Roman"/>
                <w:szCs w:val="21"/>
              </w:rPr>
              <w:t>后续</w:t>
            </w:r>
            <w:r>
              <w:rPr>
                <w:rFonts w:ascii="Times New Roman" w:hAnsi="Times New Roman" w:cs="Times New Roman"/>
                <w:szCs w:val="21"/>
              </w:rPr>
              <w:t>学习内容</w:t>
            </w:r>
            <w:r>
              <w:rPr>
                <w:rFonts w:hint="eastAsia" w:ascii="Times New Roman" w:hAnsi="Times New Roman" w:cs="Times New Roman"/>
                <w:szCs w:val="21"/>
              </w:rPr>
              <w:t>有</w:t>
            </w:r>
            <w:r>
              <w:rPr>
                <w:rFonts w:ascii="Times New Roman" w:hAnsi="Times New Roman" w:cs="Times New Roman"/>
                <w:szCs w:val="21"/>
              </w:rPr>
              <w:t>清晰认识和</w:t>
            </w:r>
            <w:r>
              <w:rPr>
                <w:rFonts w:hint="eastAsia" w:ascii="Times New Roman" w:hAnsi="Times New Roman" w:cs="Times New Roman"/>
                <w:szCs w:val="21"/>
              </w:rPr>
              <w:t>了解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理论讲授中，能够认真上课，积极记录讲授要点，</w:t>
            </w:r>
            <w:r>
              <w:rPr>
                <w:rFonts w:hint="eastAsia" w:ascii="Times New Roman" w:hAnsi="Times New Roman" w:cs="Times New Roman"/>
                <w:szCs w:val="21"/>
              </w:rPr>
              <w:t>主动提问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</w:rPr>
              <w:t>从容作答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理论课程结束后</w:t>
            </w:r>
            <w:r>
              <w:rPr>
                <w:rFonts w:ascii="Times New Roman" w:hAnsi="Times New Roman" w:cs="Times New Roman"/>
                <w:szCs w:val="21"/>
              </w:rPr>
              <w:t>，能够主动整理笔记，形成完整</w:t>
            </w:r>
            <w:r>
              <w:rPr>
                <w:rFonts w:hint="eastAsia" w:ascii="Times New Roman" w:hAnsi="Times New Roman" w:cs="Times New Roman"/>
                <w:szCs w:val="21"/>
              </w:rPr>
              <w:t>的记录</w:t>
            </w:r>
            <w:r>
              <w:rPr>
                <w:rFonts w:ascii="Times New Roman" w:hAnsi="Times New Roman" w:cs="Times New Roman"/>
                <w:szCs w:val="21"/>
              </w:rPr>
              <w:t>，并针对专业问题，主动与教师或同学交流。</w:t>
            </w:r>
          </w:p>
        </w:tc>
        <w:tc>
          <w:tcPr>
            <w:tcW w:w="1559" w:type="dxa"/>
            <w:shd w:val="clear" w:color="auto" w:fill="auto"/>
          </w:tcPr>
          <w:p>
            <w:r>
              <w:rPr>
                <w:rFonts w:hint="eastAsia" w:ascii="Times New Roman" w:hAnsi="Times New Roman" w:cs="Times New Roman"/>
                <w:szCs w:val="21"/>
              </w:rPr>
              <w:t>理论讲授前</w:t>
            </w:r>
            <w:r>
              <w:rPr>
                <w:rFonts w:ascii="Times New Roman" w:hAnsi="Times New Roman" w:cs="Times New Roman"/>
                <w:szCs w:val="21"/>
              </w:rPr>
              <w:t>，能够做到主动查阅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整理必要资料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素材，准备</w:t>
            </w:r>
            <w:r>
              <w:rPr>
                <w:rFonts w:hint="eastAsia" w:ascii="Times New Roman" w:hAnsi="Times New Roman" w:cs="Times New Roman"/>
                <w:szCs w:val="21"/>
              </w:rPr>
              <w:t>比较</w:t>
            </w:r>
            <w:r>
              <w:rPr>
                <w:rFonts w:ascii="Times New Roman" w:hAnsi="Times New Roman" w:cs="Times New Roman"/>
                <w:szCs w:val="21"/>
              </w:rPr>
              <w:t>充分，对</w:t>
            </w:r>
            <w:r>
              <w:rPr>
                <w:rFonts w:hint="eastAsia" w:ascii="Times New Roman" w:hAnsi="Times New Roman" w:cs="Times New Roman"/>
                <w:szCs w:val="21"/>
              </w:rPr>
              <w:t>后续</w:t>
            </w:r>
            <w:r>
              <w:rPr>
                <w:rFonts w:ascii="Times New Roman" w:hAnsi="Times New Roman" w:cs="Times New Roman"/>
                <w:szCs w:val="21"/>
              </w:rPr>
              <w:t>学习内容</w:t>
            </w:r>
            <w:r>
              <w:rPr>
                <w:rFonts w:hint="eastAsia" w:ascii="Times New Roman" w:hAnsi="Times New Roman" w:cs="Times New Roman"/>
                <w:szCs w:val="21"/>
              </w:rPr>
              <w:t>有比较</w:t>
            </w:r>
            <w:r>
              <w:rPr>
                <w:rFonts w:ascii="Times New Roman" w:hAnsi="Times New Roman" w:cs="Times New Roman"/>
                <w:szCs w:val="21"/>
              </w:rPr>
              <w:t>清晰认识和</w:t>
            </w:r>
            <w:r>
              <w:rPr>
                <w:rFonts w:hint="eastAsia" w:ascii="Times New Roman" w:hAnsi="Times New Roman" w:cs="Times New Roman"/>
                <w:szCs w:val="21"/>
              </w:rPr>
              <w:t>了解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理论讲授中，能够认真上课，积极记录讲授要点；</w:t>
            </w:r>
            <w:r>
              <w:rPr>
                <w:rFonts w:hint="eastAsia" w:ascii="Times New Roman" w:hAnsi="Times New Roman" w:cs="Times New Roman"/>
                <w:szCs w:val="21"/>
              </w:rPr>
              <w:t>理论课程结束后</w:t>
            </w:r>
            <w:r>
              <w:rPr>
                <w:rFonts w:ascii="Times New Roman" w:hAnsi="Times New Roman" w:cs="Times New Roman"/>
                <w:szCs w:val="21"/>
              </w:rPr>
              <w:t>，能够主动整理笔记，形成</w:t>
            </w:r>
            <w:r>
              <w:rPr>
                <w:rFonts w:hint="eastAsia" w:ascii="Times New Roman" w:hAnsi="Times New Roman" w:cs="Times New Roman"/>
                <w:szCs w:val="21"/>
              </w:rPr>
              <w:t>比较</w:t>
            </w:r>
            <w:r>
              <w:rPr>
                <w:rFonts w:ascii="Times New Roman" w:hAnsi="Times New Roman" w:cs="Times New Roman"/>
                <w:szCs w:val="21"/>
              </w:rPr>
              <w:t>完整</w:t>
            </w:r>
            <w:r>
              <w:rPr>
                <w:rFonts w:hint="eastAsia" w:ascii="Times New Roman" w:hAnsi="Times New Roman" w:cs="Times New Roman"/>
                <w:szCs w:val="21"/>
              </w:rPr>
              <w:t>的记录</w:t>
            </w:r>
            <w:r>
              <w:rPr>
                <w:rFonts w:ascii="Times New Roman" w:hAnsi="Times New Roman" w:cs="Times New Roman"/>
                <w:szCs w:val="21"/>
              </w:rPr>
              <w:t>。</w:t>
            </w:r>
          </w:p>
        </w:tc>
        <w:tc>
          <w:tcPr>
            <w:tcW w:w="1560" w:type="dxa"/>
            <w:shd w:val="clear" w:color="auto" w:fill="auto"/>
          </w:tcPr>
          <w:p>
            <w:r>
              <w:rPr>
                <w:rFonts w:hint="eastAsia" w:ascii="Times New Roman" w:hAnsi="Times New Roman" w:cs="Times New Roman"/>
                <w:szCs w:val="21"/>
              </w:rPr>
              <w:t>理论讲授前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</w:rPr>
              <w:t>基本</w:t>
            </w:r>
            <w:r>
              <w:rPr>
                <w:rFonts w:ascii="Times New Roman" w:hAnsi="Times New Roman" w:cs="Times New Roman"/>
                <w:szCs w:val="21"/>
              </w:rPr>
              <w:t>能够做到查阅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整理必要资料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素材，</w:t>
            </w:r>
            <w:r>
              <w:rPr>
                <w:rFonts w:hint="eastAsia" w:ascii="Times New Roman" w:hAnsi="Times New Roman" w:cs="Times New Roman"/>
                <w:szCs w:val="21"/>
              </w:rPr>
              <w:t>有一定前期准备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理论讲授中，能够认真上课。</w:t>
            </w:r>
          </w:p>
        </w:tc>
        <w:tc>
          <w:tcPr>
            <w:tcW w:w="1701" w:type="dxa"/>
            <w:shd w:val="clear" w:color="auto" w:fill="auto"/>
          </w:tcPr>
          <w:p>
            <w:r>
              <w:rPr>
                <w:rFonts w:hint="eastAsia" w:ascii="Times New Roman" w:hAnsi="Times New Roman" w:cs="Times New Roman"/>
                <w:szCs w:val="21"/>
              </w:rPr>
              <w:t>理论讲授前有一定前期准备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理论讲授中，能够认真上课。</w:t>
            </w:r>
          </w:p>
        </w:tc>
        <w:tc>
          <w:tcPr>
            <w:tcW w:w="1383" w:type="dxa"/>
            <w:shd w:val="clear" w:color="auto" w:fill="auto"/>
          </w:tcPr>
          <w:p>
            <w:r>
              <w:rPr>
                <w:rFonts w:hint="eastAsia"/>
              </w:rPr>
              <w:t>无</w:t>
            </w:r>
            <w:r>
              <w:t>前期准备，对后续学习内容不了解；理论讲授中未认真上课；理论课程结束后，对</w:t>
            </w:r>
            <w:r>
              <w:rPr>
                <w:rFonts w:hint="eastAsia"/>
              </w:rPr>
              <w:t>必需</w:t>
            </w:r>
            <w:r>
              <w:t>的后续工作或作业未形成正确认识。</w:t>
            </w:r>
          </w:p>
        </w:tc>
      </w:tr>
    </w:tbl>
    <w:p>
      <w:pPr>
        <w:snapToGrid w:val="0"/>
        <w:spacing w:line="400" w:lineRule="exact"/>
        <w:ind w:firstLine="440"/>
        <w:rPr>
          <w:rFonts w:ascii="Times" w:hAnsi="Times" w:cs="Times"/>
          <w:b/>
          <w:szCs w:val="21"/>
        </w:rPr>
      </w:pPr>
      <w:r>
        <w:rPr>
          <w:rFonts w:hint="eastAsia" w:ascii="Times" w:hAnsi="Times" w:cs="Times"/>
          <w:b/>
          <w:szCs w:val="21"/>
        </w:rPr>
        <w:t>（3）平时成绩三</w:t>
      </w:r>
    </w:p>
    <w:tbl>
      <w:tblPr>
        <w:tblStyle w:val="10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559"/>
        <w:gridCol w:w="1559"/>
        <w:gridCol w:w="1560"/>
        <w:gridCol w:w="1701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hint="eastAsia" w:ascii="Times" w:hAnsi="Times" w:cs="Times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(x </w:t>
            </w:r>
            <w:r>
              <w:rPr>
                <w:rFonts w:hint="eastAsia" w:ascii="Times New Roman" w:hAnsi="Times New Roman" w:cs="Times New Roman"/>
                <w:szCs w:val="21"/>
              </w:rPr>
              <w:t>≤59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出勤情况</w:t>
            </w:r>
          </w:p>
        </w:tc>
        <w:tc>
          <w:tcPr>
            <w:tcW w:w="1559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能够</w:t>
            </w:r>
            <w:r>
              <w:rPr>
                <w:rFonts w:ascii="Times New Roman" w:hAnsi="Times New Roman" w:cs="Times New Roman"/>
                <w:szCs w:val="21"/>
              </w:rPr>
              <w:t>提前到达教室并主动</w:t>
            </w:r>
            <w:r>
              <w:rPr>
                <w:rFonts w:hint="eastAsia" w:ascii="Times New Roman" w:hAnsi="Times New Roman" w:cs="Times New Roman"/>
                <w:szCs w:val="21"/>
              </w:rPr>
              <w:t>进行</w:t>
            </w:r>
            <w:r>
              <w:rPr>
                <w:rFonts w:ascii="Times New Roman" w:hAnsi="Times New Roman" w:cs="Times New Roman"/>
                <w:szCs w:val="21"/>
              </w:rPr>
              <w:t>课前准备，</w:t>
            </w:r>
            <w:r>
              <w:rPr>
                <w:rFonts w:hint="eastAsia" w:ascii="Times New Roman" w:hAnsi="Times New Roman" w:cs="Times New Roman"/>
                <w:szCs w:val="21"/>
              </w:rPr>
              <w:t>无迟到</w:t>
            </w:r>
            <w:r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559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能够按时</w:t>
            </w:r>
            <w:r>
              <w:rPr>
                <w:rFonts w:ascii="Times New Roman" w:hAnsi="Times New Roman" w:cs="Times New Roman"/>
                <w:szCs w:val="21"/>
              </w:rPr>
              <w:t>到达教室并主动</w:t>
            </w:r>
            <w:r>
              <w:rPr>
                <w:rFonts w:hint="eastAsia" w:ascii="Times New Roman" w:hAnsi="Times New Roman" w:cs="Times New Roman"/>
                <w:szCs w:val="21"/>
              </w:rPr>
              <w:t>进行</w:t>
            </w:r>
            <w:r>
              <w:rPr>
                <w:rFonts w:ascii="Times New Roman" w:hAnsi="Times New Roman" w:cs="Times New Roman"/>
                <w:szCs w:val="21"/>
              </w:rPr>
              <w:t>课前准备，</w:t>
            </w:r>
            <w:r>
              <w:rPr>
                <w:rFonts w:hint="eastAsia" w:ascii="Times New Roman" w:hAnsi="Times New Roman" w:cs="Times New Roman"/>
                <w:szCs w:val="21"/>
              </w:rPr>
              <w:t>无迟到</w:t>
            </w:r>
            <w:r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560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基本能够按时</w:t>
            </w:r>
            <w:r>
              <w:rPr>
                <w:rFonts w:ascii="Times New Roman" w:hAnsi="Times New Roman" w:cs="Times New Roman"/>
                <w:szCs w:val="21"/>
              </w:rPr>
              <w:t>到达教室，</w:t>
            </w:r>
            <w:r>
              <w:rPr>
                <w:rFonts w:hint="eastAsia" w:ascii="Times New Roman" w:hAnsi="Times New Roman" w:cs="Times New Roman"/>
                <w:szCs w:val="21"/>
              </w:rPr>
              <w:t>偶有迟到或早退，</w:t>
            </w:r>
            <w:r>
              <w:rPr>
                <w:rFonts w:ascii="Times New Roman" w:hAnsi="Times New Roman" w:cs="Times New Roman"/>
                <w:szCs w:val="21"/>
              </w:rPr>
              <w:t>无旷课。</w:t>
            </w:r>
          </w:p>
        </w:tc>
        <w:tc>
          <w:tcPr>
            <w:tcW w:w="1701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基本能够按时</w:t>
            </w:r>
            <w:r>
              <w:rPr>
                <w:rFonts w:ascii="Times New Roman" w:hAnsi="Times New Roman" w:cs="Times New Roman"/>
                <w:szCs w:val="21"/>
              </w:rPr>
              <w:t>到达教室，</w:t>
            </w:r>
            <w:r>
              <w:rPr>
                <w:rFonts w:hint="eastAsia" w:ascii="Times New Roman" w:hAnsi="Times New Roman" w:cs="Times New Roman"/>
                <w:szCs w:val="21"/>
              </w:rPr>
              <w:t>偶有迟到或早退或</w:t>
            </w:r>
            <w:r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  <w:tc>
          <w:tcPr>
            <w:tcW w:w="1383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无法做到</w:t>
            </w:r>
            <w:r>
              <w:rPr>
                <w:rFonts w:ascii="Times New Roman" w:hAnsi="Times New Roman" w:cs="Times New Roman"/>
                <w:szCs w:val="21"/>
              </w:rPr>
              <w:t>按时上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下课</w:t>
            </w:r>
            <w:r>
              <w:rPr>
                <w:rFonts w:hint="eastAsia"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/>
                <w:szCs w:val="21"/>
              </w:rPr>
              <w:t>经常</w:t>
            </w:r>
            <w:r>
              <w:rPr>
                <w:rFonts w:hint="eastAsia" w:ascii="Times New Roman" w:hAnsi="Times New Roman" w:cs="Times New Roman"/>
                <w:szCs w:val="21"/>
              </w:rPr>
              <w:t>迟到或早退或</w:t>
            </w:r>
            <w:r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</w:tr>
    </w:tbl>
    <w:p>
      <w:pPr>
        <w:tabs>
          <w:tab w:val="left" w:pos="1915"/>
        </w:tabs>
        <w:autoSpaceDE w:val="0"/>
        <w:autoSpaceDN w:val="0"/>
        <w:adjustRightInd w:val="0"/>
        <w:snapToGrid w:val="0"/>
        <w:spacing w:line="400" w:lineRule="exact"/>
        <w:jc w:val="left"/>
        <w:rPr>
          <w:rFonts w:ascii="Times" w:hAnsi="Times" w:eastAsia="宋体" w:cs="Times"/>
          <w:b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" w:eastAsia="宋体" w:cs="Times"/>
          <w:b/>
          <w:kern w:val="0"/>
          <w:sz w:val="24"/>
          <w:szCs w:val="24"/>
        </w:rPr>
      </w:pPr>
      <w:r>
        <w:rPr>
          <w:rFonts w:ascii="Times" w:hAnsi="Times" w:eastAsia="宋体" w:cs="Times"/>
          <w:b/>
          <w:kern w:val="0"/>
          <w:sz w:val="24"/>
          <w:szCs w:val="24"/>
        </w:rPr>
        <w:t>2.</w:t>
      </w:r>
      <w:r>
        <w:rPr>
          <w:rFonts w:hint="eastAsia" w:ascii="Times" w:hAnsi="Times" w:eastAsia="宋体" w:cs="Times"/>
          <w:b/>
          <w:kern w:val="0"/>
          <w:sz w:val="24"/>
          <w:szCs w:val="24"/>
        </w:rPr>
        <w:t>期末成绩评定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ascii="Times" w:hAnsi="Times New Roman" w:eastAsia="宋体" w:cs="Times"/>
          <w:kern w:val="0"/>
          <w:sz w:val="24"/>
          <w:szCs w:val="24"/>
        </w:rPr>
      </w:pPr>
      <w:r>
        <w:rPr>
          <w:rFonts w:hint="eastAsia" w:ascii="Times" w:hAnsi="Times" w:eastAsia="宋体" w:cs="Times"/>
          <w:kern w:val="0"/>
          <w:sz w:val="24"/>
          <w:szCs w:val="24"/>
        </w:rPr>
        <w:t>期末成绩（</w:t>
      </w:r>
      <w:r>
        <w:rPr>
          <w:rFonts w:ascii="Times" w:hAnsi="Times" w:eastAsia="宋体" w:cs="Times"/>
          <w:kern w:val="0"/>
          <w:sz w:val="24"/>
          <w:szCs w:val="24"/>
        </w:rPr>
        <w:t>100%</w:t>
      </w:r>
      <w:r>
        <w:rPr>
          <w:rFonts w:hint="eastAsia" w:ascii="Times" w:hAnsi="Times" w:eastAsia="宋体" w:cs="Times"/>
          <w:kern w:val="0"/>
          <w:sz w:val="24"/>
          <w:szCs w:val="24"/>
        </w:rPr>
        <w:t>）</w:t>
      </w:r>
      <w:r>
        <w:rPr>
          <w:rFonts w:ascii="Times" w:hAnsi="Times" w:eastAsia="宋体" w:cs="Times"/>
          <w:kern w:val="0"/>
          <w:sz w:val="24"/>
          <w:szCs w:val="24"/>
        </w:rPr>
        <w:t>=</w:t>
      </w:r>
      <w:r>
        <w:rPr>
          <w:rFonts w:hint="eastAsia" w:ascii="Times" w:hAnsi="Times" w:eastAsia="宋体" w:cs="Times"/>
          <w:kern w:val="0"/>
          <w:sz w:val="24"/>
          <w:szCs w:val="24"/>
        </w:rPr>
        <w:t>调研报告（60%）+课程作品（30%）+出勤情况（10%）</w:t>
      </w:r>
    </w:p>
    <w:p>
      <w:pPr>
        <w:autoSpaceDE w:val="0"/>
        <w:autoSpaceDN w:val="0"/>
        <w:adjustRightInd w:val="0"/>
        <w:snapToGrid w:val="0"/>
        <w:spacing w:line="400" w:lineRule="exact"/>
        <w:jc w:val="center"/>
        <w:rPr>
          <w:rFonts w:ascii="Times" w:hAnsi="Times New Roman" w:eastAsia="宋体" w:cs="Times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期末成绩评分标准</w:t>
      </w:r>
    </w:p>
    <w:tbl>
      <w:tblPr>
        <w:tblStyle w:val="10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559"/>
        <w:gridCol w:w="1418"/>
        <w:gridCol w:w="1559"/>
        <w:gridCol w:w="1716"/>
        <w:gridCol w:w="1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hint="eastAsia" w:ascii="Times" w:hAnsi="Times" w:cs="Times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(x</w:t>
            </w:r>
            <w:r>
              <w:rPr>
                <w:rFonts w:hint="eastAsia" w:ascii="Times New Roman" w:hAnsi="Times New Roman" w:cs="Times New Roman"/>
                <w:szCs w:val="21"/>
              </w:rPr>
              <w:t>≤59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</w:trPr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调研报告</w:t>
            </w:r>
          </w:p>
        </w:tc>
        <w:tc>
          <w:tcPr>
            <w:tcW w:w="1559" w:type="dxa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选题具有非常积极的社会意义；内容丰富，材料翔实；开展了充分的民间艺术调研工作，对艺术现象和艺术问题有一定的研究和思考，问题解决的措施和方案合理、到位；结构严谨，语言流畅</w:t>
            </w:r>
            <w:r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1418" w:type="dxa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Cs w:val="21"/>
              </w:rPr>
              <w:t>选题具有较高的社会价值；内容比较丰富，材料较为翔实；开展了较为充分的民间艺术调研工作，能运用专业知识分析艺术现象和艺术问题，并能提出一些可行的问题解决的措施和方案；结构比较严谨，语言比较流畅。</w:t>
            </w:r>
          </w:p>
        </w:tc>
        <w:tc>
          <w:tcPr>
            <w:tcW w:w="1559" w:type="dxa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选题具有一定的社会价值；内容和材料符合要求；开展了一定的民间艺术调研工作，能如实阐述某个艺术现象和艺术问题，观点正确；结构合理，语言表达通顺。</w:t>
            </w:r>
          </w:p>
        </w:tc>
        <w:tc>
          <w:tcPr>
            <w:tcW w:w="1716" w:type="dxa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选题基本合理、得当；内容和材料基本符合要求；实际开展了民间艺术调研工作，观点基本正确，论证基本充分；结构基本合理，语言表达较为通顺。</w:t>
            </w:r>
          </w:p>
        </w:tc>
        <w:tc>
          <w:tcPr>
            <w:tcW w:w="1510" w:type="dxa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选题不合理；内容和材料较为单薄，未达到要求；未开展实际的调研工作，对艺术现象和艺术问题的分析不合理，观点有明显错误；结构混乱，语言表达不通顺。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134" w:type="dxa"/>
            <w:shd w:val="clear" w:color="auto" w:fill="auto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课程作品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能够准确</w:t>
            </w:r>
            <w:r>
              <w:rPr>
                <w:rFonts w:ascii="Times New Roman" w:hAnsi="Times New Roman" w:cs="Times New Roman"/>
                <w:szCs w:val="21"/>
              </w:rPr>
              <w:t>描述对象主要特征</w:t>
            </w:r>
            <w:r>
              <w:rPr>
                <w:rFonts w:hint="eastAsia"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/>
                <w:szCs w:val="21"/>
              </w:rPr>
              <w:t>并对其文化内涵进行准确阐释；</w:t>
            </w:r>
            <w:r>
              <w:rPr>
                <w:rFonts w:hint="eastAsia" w:ascii="Times New Roman" w:hAnsi="Times New Roman" w:cs="Times New Roman"/>
                <w:szCs w:val="21"/>
              </w:rPr>
              <w:t>塑造步骤</w:t>
            </w:r>
            <w:r>
              <w:rPr>
                <w:rFonts w:ascii="Times New Roman" w:hAnsi="Times New Roman" w:cs="Times New Roman"/>
                <w:szCs w:val="21"/>
              </w:rPr>
              <w:t>完整，完成度</w:t>
            </w:r>
            <w:r>
              <w:rPr>
                <w:rFonts w:hint="eastAsia" w:ascii="Times New Roman" w:hAnsi="Times New Roman" w:cs="Times New Roman"/>
                <w:szCs w:val="21"/>
              </w:rPr>
              <w:t>高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作品能够充分</w:t>
            </w:r>
            <w:r>
              <w:rPr>
                <w:rFonts w:ascii="Times New Roman" w:hAnsi="Times New Roman" w:cs="Times New Roman"/>
                <w:szCs w:val="21"/>
              </w:rPr>
              <w:t>表现</w:t>
            </w:r>
            <w:r>
              <w:rPr>
                <w:rFonts w:hint="eastAsia" w:ascii="Times New Roman" w:hAnsi="Times New Roman" w:cs="Times New Roman"/>
                <w:szCs w:val="21"/>
              </w:rPr>
              <w:t>对象</w:t>
            </w:r>
            <w:r>
              <w:rPr>
                <w:rFonts w:ascii="Times New Roman" w:hAnsi="Times New Roman" w:cs="Times New Roman"/>
                <w:szCs w:val="21"/>
              </w:rPr>
              <w:t>造型特点，</w:t>
            </w:r>
            <w:r>
              <w:rPr>
                <w:rFonts w:hint="eastAsia" w:ascii="Times New Roman" w:hAnsi="Times New Roman" w:cs="Times New Roman"/>
                <w:szCs w:val="21"/>
              </w:rPr>
              <w:t>形体</w:t>
            </w:r>
            <w:r>
              <w:rPr>
                <w:rFonts w:ascii="Times New Roman" w:hAnsi="Times New Roman" w:cs="Times New Roman"/>
                <w:szCs w:val="21"/>
              </w:rPr>
              <w:t>、结构、空间关系合理、准确。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能够比较准确</w:t>
            </w:r>
            <w:r>
              <w:rPr>
                <w:rFonts w:ascii="Times New Roman" w:hAnsi="Times New Roman" w:cs="Times New Roman"/>
                <w:szCs w:val="21"/>
              </w:rPr>
              <w:t>描述对象主要特征</w:t>
            </w:r>
            <w:r>
              <w:rPr>
                <w:rFonts w:hint="eastAsia"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/>
                <w:szCs w:val="21"/>
              </w:rPr>
              <w:t>并对其文化内涵进行阐释；</w:t>
            </w:r>
            <w:r>
              <w:rPr>
                <w:rFonts w:hint="eastAsia" w:ascii="Times New Roman" w:hAnsi="Times New Roman" w:cs="Times New Roman"/>
                <w:szCs w:val="21"/>
              </w:rPr>
              <w:t>塑造步骤比较</w:t>
            </w:r>
            <w:r>
              <w:rPr>
                <w:rFonts w:ascii="Times New Roman" w:hAnsi="Times New Roman" w:cs="Times New Roman"/>
                <w:szCs w:val="21"/>
              </w:rPr>
              <w:t>完整，</w:t>
            </w:r>
            <w:r>
              <w:rPr>
                <w:rFonts w:hint="eastAsia" w:ascii="Times New Roman" w:hAnsi="Times New Roman" w:cs="Times New Roman"/>
                <w:szCs w:val="21"/>
              </w:rPr>
              <w:t>具有</w:t>
            </w:r>
            <w:r>
              <w:rPr>
                <w:rFonts w:ascii="Times New Roman" w:hAnsi="Times New Roman" w:cs="Times New Roman"/>
                <w:szCs w:val="21"/>
              </w:rPr>
              <w:t>一定完成度；</w:t>
            </w:r>
            <w:r>
              <w:rPr>
                <w:rFonts w:hint="eastAsia" w:ascii="Times New Roman" w:hAnsi="Times New Roman" w:cs="Times New Roman"/>
                <w:szCs w:val="21"/>
              </w:rPr>
              <w:t>作品能够比较充分</w:t>
            </w:r>
            <w:r>
              <w:rPr>
                <w:rFonts w:ascii="Times New Roman" w:hAnsi="Times New Roman" w:cs="Times New Roman"/>
                <w:szCs w:val="21"/>
              </w:rPr>
              <w:t>表现</w:t>
            </w:r>
            <w:r>
              <w:rPr>
                <w:rFonts w:hint="eastAsia" w:ascii="Times New Roman" w:hAnsi="Times New Roman" w:cs="Times New Roman"/>
                <w:szCs w:val="21"/>
              </w:rPr>
              <w:t>对象</w:t>
            </w:r>
            <w:r>
              <w:rPr>
                <w:rFonts w:ascii="Times New Roman" w:hAnsi="Times New Roman" w:cs="Times New Roman"/>
                <w:szCs w:val="21"/>
              </w:rPr>
              <w:t>造型特点，</w:t>
            </w:r>
            <w:r>
              <w:rPr>
                <w:rFonts w:hint="eastAsia" w:ascii="Times New Roman" w:hAnsi="Times New Roman" w:cs="Times New Roman"/>
                <w:szCs w:val="21"/>
              </w:rPr>
              <w:t>形体</w:t>
            </w:r>
            <w:r>
              <w:rPr>
                <w:rFonts w:ascii="Times New Roman" w:hAnsi="Times New Roman" w:cs="Times New Roman"/>
                <w:szCs w:val="21"/>
              </w:rPr>
              <w:t>、结构、空间关系</w:t>
            </w:r>
            <w:r>
              <w:rPr>
                <w:rFonts w:hint="eastAsia" w:ascii="Times New Roman" w:hAnsi="Times New Roman" w:cs="Times New Roman"/>
                <w:szCs w:val="21"/>
              </w:rPr>
              <w:t>比较</w:t>
            </w:r>
            <w:r>
              <w:rPr>
                <w:rFonts w:ascii="Times New Roman" w:hAnsi="Times New Roman" w:cs="Times New Roman"/>
                <w:szCs w:val="21"/>
              </w:rPr>
              <w:t>准确。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能够描述对象主要特征，并对其文化内涵进行阐释；塑造步骤比较完整；作品能够表现对象造型特点。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基本能够</w:t>
            </w:r>
            <w:r>
              <w:rPr>
                <w:rFonts w:ascii="Times New Roman" w:hAnsi="Times New Roman" w:cs="Times New Roman"/>
                <w:szCs w:val="21"/>
              </w:rPr>
              <w:t>描述对象主要特征</w:t>
            </w:r>
            <w:r>
              <w:rPr>
                <w:rFonts w:hint="eastAsia"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/>
                <w:szCs w:val="21"/>
              </w:rPr>
              <w:t>并对其文化内涵进行阐释；</w:t>
            </w:r>
            <w:r>
              <w:rPr>
                <w:rFonts w:hint="eastAsia" w:ascii="Times New Roman" w:hAnsi="Times New Roman" w:cs="Times New Roman"/>
                <w:szCs w:val="21"/>
              </w:rPr>
              <w:t>塑造步骤基本</w:t>
            </w:r>
            <w:r>
              <w:rPr>
                <w:rFonts w:ascii="Times New Roman" w:hAnsi="Times New Roman" w:cs="Times New Roman"/>
                <w:szCs w:val="21"/>
              </w:rPr>
              <w:t>完整；</w:t>
            </w:r>
            <w:r>
              <w:rPr>
                <w:rFonts w:hint="eastAsia" w:ascii="Times New Roman" w:hAnsi="Times New Roman" w:cs="Times New Roman"/>
                <w:szCs w:val="21"/>
              </w:rPr>
              <w:t>作品基本能够</w:t>
            </w:r>
            <w:r>
              <w:rPr>
                <w:rFonts w:ascii="Times New Roman" w:hAnsi="Times New Roman" w:cs="Times New Roman"/>
                <w:szCs w:val="21"/>
              </w:rPr>
              <w:t>表现</w:t>
            </w:r>
            <w:r>
              <w:rPr>
                <w:rFonts w:hint="eastAsia" w:ascii="Times New Roman" w:hAnsi="Times New Roman" w:cs="Times New Roman"/>
                <w:szCs w:val="21"/>
              </w:rPr>
              <w:t>对象</w:t>
            </w:r>
            <w:r>
              <w:rPr>
                <w:rFonts w:ascii="Times New Roman" w:hAnsi="Times New Roman" w:cs="Times New Roman"/>
                <w:szCs w:val="21"/>
              </w:rPr>
              <w:t>造型特点。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不能够</w:t>
            </w:r>
            <w:r>
              <w:rPr>
                <w:rFonts w:ascii="Times New Roman" w:hAnsi="Times New Roman" w:cs="Times New Roman"/>
                <w:szCs w:val="21"/>
              </w:rPr>
              <w:t>描述对象主要特征</w:t>
            </w:r>
            <w:r>
              <w:rPr>
                <w:rFonts w:hint="eastAsia" w:ascii="Times New Roman" w:hAnsi="Times New Roman" w:cs="Times New Roman"/>
                <w:szCs w:val="21"/>
              </w:rPr>
              <w:t>，无法</w:t>
            </w:r>
            <w:r>
              <w:rPr>
                <w:rFonts w:ascii="Times New Roman" w:hAnsi="Times New Roman" w:cs="Times New Roman"/>
                <w:szCs w:val="21"/>
              </w:rPr>
              <w:t>对其文化内涵进行阐释；</w:t>
            </w:r>
            <w:r>
              <w:rPr>
                <w:rFonts w:hint="eastAsia" w:ascii="Times New Roman" w:hAnsi="Times New Roman" w:cs="Times New Roman"/>
                <w:szCs w:val="21"/>
              </w:rPr>
              <w:t>塑造步骤不</w:t>
            </w:r>
            <w:r>
              <w:rPr>
                <w:rFonts w:ascii="Times New Roman" w:hAnsi="Times New Roman" w:cs="Times New Roman"/>
                <w:szCs w:val="21"/>
              </w:rPr>
              <w:t>完整；</w:t>
            </w:r>
            <w:r>
              <w:rPr>
                <w:rFonts w:hint="eastAsia" w:ascii="Times New Roman" w:hAnsi="Times New Roman" w:cs="Times New Roman"/>
                <w:szCs w:val="21"/>
              </w:rPr>
              <w:t>作品不能够</w:t>
            </w:r>
            <w:r>
              <w:rPr>
                <w:rFonts w:ascii="Times New Roman" w:hAnsi="Times New Roman" w:cs="Times New Roman"/>
                <w:szCs w:val="21"/>
              </w:rPr>
              <w:t>表现</w:t>
            </w:r>
            <w:r>
              <w:rPr>
                <w:rFonts w:hint="eastAsia" w:ascii="Times New Roman" w:hAnsi="Times New Roman" w:cs="Times New Roman"/>
                <w:szCs w:val="21"/>
              </w:rPr>
              <w:t>对象</w:t>
            </w:r>
            <w:r>
              <w:rPr>
                <w:rFonts w:ascii="Times New Roman" w:hAnsi="Times New Roman" w:cs="Times New Roman"/>
                <w:szCs w:val="21"/>
              </w:rPr>
              <w:t>造型特点。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出勤情况</w:t>
            </w:r>
          </w:p>
        </w:tc>
        <w:tc>
          <w:tcPr>
            <w:tcW w:w="1559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能够</w:t>
            </w:r>
            <w:r>
              <w:rPr>
                <w:rFonts w:ascii="Times New Roman" w:hAnsi="Times New Roman" w:cs="Times New Roman"/>
                <w:szCs w:val="21"/>
              </w:rPr>
              <w:t>提前到达教室并主动</w:t>
            </w:r>
            <w:r>
              <w:rPr>
                <w:rFonts w:hint="eastAsia" w:ascii="Times New Roman" w:hAnsi="Times New Roman" w:cs="Times New Roman"/>
                <w:szCs w:val="21"/>
              </w:rPr>
              <w:t>进行</w:t>
            </w:r>
            <w:r>
              <w:rPr>
                <w:rFonts w:ascii="Times New Roman" w:hAnsi="Times New Roman" w:cs="Times New Roman"/>
                <w:szCs w:val="21"/>
              </w:rPr>
              <w:t>课前准备，</w:t>
            </w:r>
            <w:r>
              <w:rPr>
                <w:rFonts w:hint="eastAsia" w:ascii="Times New Roman" w:hAnsi="Times New Roman" w:cs="Times New Roman"/>
                <w:szCs w:val="21"/>
              </w:rPr>
              <w:t>无迟到</w:t>
            </w:r>
            <w:r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418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能够按时</w:t>
            </w:r>
            <w:r>
              <w:rPr>
                <w:rFonts w:ascii="Times New Roman" w:hAnsi="Times New Roman" w:cs="Times New Roman"/>
                <w:szCs w:val="21"/>
              </w:rPr>
              <w:t>到达教室并主动</w:t>
            </w:r>
            <w:r>
              <w:rPr>
                <w:rFonts w:hint="eastAsia" w:ascii="Times New Roman" w:hAnsi="Times New Roman" w:cs="Times New Roman"/>
                <w:szCs w:val="21"/>
              </w:rPr>
              <w:t>进行</w:t>
            </w:r>
            <w:r>
              <w:rPr>
                <w:rFonts w:ascii="Times New Roman" w:hAnsi="Times New Roman" w:cs="Times New Roman"/>
                <w:szCs w:val="21"/>
              </w:rPr>
              <w:t>课前准备，</w:t>
            </w:r>
            <w:r>
              <w:rPr>
                <w:rFonts w:hint="eastAsia" w:ascii="Times New Roman" w:hAnsi="Times New Roman" w:cs="Times New Roman"/>
                <w:szCs w:val="21"/>
              </w:rPr>
              <w:t>无迟到</w:t>
            </w:r>
            <w:r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559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基本能够按时</w:t>
            </w:r>
            <w:r>
              <w:rPr>
                <w:rFonts w:ascii="Times New Roman" w:hAnsi="Times New Roman" w:cs="Times New Roman"/>
                <w:szCs w:val="21"/>
              </w:rPr>
              <w:t>到达教室，</w:t>
            </w:r>
            <w:r>
              <w:rPr>
                <w:rFonts w:hint="eastAsia" w:ascii="Times New Roman" w:hAnsi="Times New Roman" w:cs="Times New Roman"/>
                <w:szCs w:val="21"/>
              </w:rPr>
              <w:t>偶有迟到或早退，</w:t>
            </w:r>
            <w:r>
              <w:rPr>
                <w:rFonts w:ascii="Times New Roman" w:hAnsi="Times New Roman" w:cs="Times New Roman"/>
                <w:szCs w:val="21"/>
              </w:rPr>
              <w:t>无旷课。</w:t>
            </w:r>
          </w:p>
        </w:tc>
        <w:tc>
          <w:tcPr>
            <w:tcW w:w="1716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基本能够按时</w:t>
            </w:r>
            <w:r>
              <w:rPr>
                <w:rFonts w:ascii="Times New Roman" w:hAnsi="Times New Roman" w:cs="Times New Roman"/>
                <w:szCs w:val="21"/>
              </w:rPr>
              <w:t>到达教室，</w:t>
            </w:r>
            <w:r>
              <w:rPr>
                <w:rFonts w:hint="eastAsia" w:ascii="Times New Roman" w:hAnsi="Times New Roman" w:cs="Times New Roman"/>
                <w:szCs w:val="21"/>
              </w:rPr>
              <w:t>偶有迟到或早退或</w:t>
            </w:r>
            <w:r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  <w:tc>
          <w:tcPr>
            <w:tcW w:w="1510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无法做到</w:t>
            </w:r>
            <w:r>
              <w:rPr>
                <w:rFonts w:ascii="Times New Roman" w:hAnsi="Times New Roman" w:cs="Times New Roman"/>
                <w:szCs w:val="21"/>
              </w:rPr>
              <w:t>按时上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下课</w:t>
            </w:r>
            <w:r>
              <w:rPr>
                <w:rFonts w:hint="eastAsia"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/>
                <w:szCs w:val="21"/>
              </w:rPr>
              <w:t>经常</w:t>
            </w:r>
            <w:r>
              <w:rPr>
                <w:rFonts w:hint="eastAsia" w:ascii="Times New Roman" w:hAnsi="Times New Roman" w:cs="Times New Roman"/>
                <w:szCs w:val="21"/>
              </w:rPr>
              <w:t>迟到或早退或</w:t>
            </w:r>
            <w:r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</w:tr>
    </w:tbl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" w:eastAsia="宋体" w:cs="Times"/>
          <w:b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" w:eastAsia="宋体" w:cs="Times"/>
          <w:b/>
          <w:kern w:val="0"/>
          <w:sz w:val="24"/>
          <w:szCs w:val="24"/>
        </w:rPr>
      </w:pPr>
      <w:r>
        <w:rPr>
          <w:rFonts w:ascii="Times" w:hAnsi="Times" w:eastAsia="宋体" w:cs="Times"/>
          <w:b/>
          <w:kern w:val="0"/>
          <w:sz w:val="24"/>
          <w:szCs w:val="24"/>
        </w:rPr>
        <w:t>3.</w:t>
      </w:r>
      <w:r>
        <w:rPr>
          <w:rFonts w:hint="eastAsia" w:ascii="Times" w:hAnsi="Times" w:eastAsia="宋体" w:cs="Times"/>
          <w:b/>
          <w:kern w:val="0"/>
          <w:sz w:val="24"/>
          <w:szCs w:val="24"/>
        </w:rPr>
        <w:t>总成绩评定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ascii="Times" w:hAnsi="Times" w:eastAsia="宋体" w:cs="Times"/>
          <w:kern w:val="0"/>
          <w:sz w:val="24"/>
          <w:szCs w:val="24"/>
        </w:rPr>
      </w:pPr>
      <w:r>
        <w:rPr>
          <w:rFonts w:hint="eastAsia" w:ascii="Times" w:hAnsi="Times" w:eastAsia="宋体" w:cs="Times"/>
          <w:kern w:val="0"/>
          <w:sz w:val="24"/>
          <w:szCs w:val="24"/>
        </w:rPr>
        <w:t>总成绩（</w:t>
      </w:r>
      <w:r>
        <w:rPr>
          <w:rFonts w:ascii="Times" w:hAnsi="Times" w:eastAsia="宋体" w:cs="Times"/>
          <w:kern w:val="0"/>
          <w:sz w:val="24"/>
          <w:szCs w:val="24"/>
        </w:rPr>
        <w:t>100%</w:t>
      </w:r>
      <w:r>
        <w:rPr>
          <w:rFonts w:hint="eastAsia" w:ascii="Times" w:hAnsi="Times" w:eastAsia="宋体" w:cs="Times"/>
          <w:kern w:val="0"/>
          <w:sz w:val="24"/>
          <w:szCs w:val="24"/>
        </w:rPr>
        <w:t>）</w:t>
      </w:r>
      <w:r>
        <w:rPr>
          <w:rFonts w:ascii="Times" w:hAnsi="Times" w:eastAsia="宋体" w:cs="Times"/>
          <w:kern w:val="0"/>
          <w:sz w:val="24"/>
          <w:szCs w:val="24"/>
        </w:rPr>
        <w:t>=</w:t>
      </w:r>
      <w:r>
        <w:rPr>
          <w:rFonts w:hint="eastAsia" w:ascii="Times" w:hAnsi="Times" w:eastAsia="宋体" w:cs="Times"/>
          <w:kern w:val="0"/>
          <w:sz w:val="24"/>
          <w:szCs w:val="24"/>
        </w:rPr>
        <w:t>平时成绩（</w:t>
      </w:r>
      <w:r>
        <w:rPr>
          <w:rFonts w:ascii="Times" w:hAnsi="Times" w:eastAsia="宋体" w:cs="Times"/>
          <w:kern w:val="0"/>
          <w:sz w:val="24"/>
          <w:szCs w:val="24"/>
        </w:rPr>
        <w:t>30%</w:t>
      </w:r>
      <w:r>
        <w:rPr>
          <w:rFonts w:hint="eastAsia" w:ascii="Times" w:hAnsi="Times" w:eastAsia="宋体" w:cs="Times"/>
          <w:kern w:val="0"/>
          <w:sz w:val="24"/>
          <w:szCs w:val="24"/>
        </w:rPr>
        <w:t>）</w:t>
      </w:r>
      <w:r>
        <w:rPr>
          <w:rFonts w:ascii="Times" w:hAnsi="Times" w:eastAsia="宋体" w:cs="Times"/>
          <w:kern w:val="0"/>
          <w:sz w:val="24"/>
          <w:szCs w:val="24"/>
        </w:rPr>
        <w:t>+</w:t>
      </w:r>
      <w:r>
        <w:rPr>
          <w:rFonts w:hint="eastAsia" w:ascii="Times" w:hAnsi="Times" w:eastAsia="宋体" w:cs="Times"/>
          <w:kern w:val="0"/>
          <w:sz w:val="24"/>
          <w:szCs w:val="24"/>
        </w:rPr>
        <w:t>期末成绩（</w:t>
      </w:r>
      <w:r>
        <w:rPr>
          <w:rFonts w:ascii="Times" w:hAnsi="Times" w:eastAsia="宋体" w:cs="Times"/>
          <w:kern w:val="0"/>
          <w:sz w:val="24"/>
          <w:szCs w:val="24"/>
        </w:rPr>
        <w:t>70%</w:t>
      </w:r>
      <w:r>
        <w:rPr>
          <w:rFonts w:hint="eastAsia" w:ascii="Times" w:hAnsi="Times" w:eastAsia="宋体" w:cs="Times"/>
          <w:kern w:val="0"/>
          <w:sz w:val="24"/>
          <w:szCs w:val="24"/>
        </w:rPr>
        <w:t>）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insoku w:val="0"/>
        <w:overflowPunct w:val="0"/>
        <w:autoSpaceDE w:val="0"/>
        <w:autoSpaceDN w:val="0"/>
        <w:adjustRightInd w:val="0"/>
        <w:spacing w:before="86" w:line="400" w:lineRule="exact"/>
        <w:ind w:firstLine="482" w:firstLineChars="200"/>
        <w:rPr>
          <w:rFonts w:ascii="黑体" w:hAnsi="黑体" w:eastAsia="黑体" w:cs="黑体"/>
          <w:b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（三）评分标准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color w:val="FF0000"/>
          <w:szCs w:val="21"/>
        </w:rPr>
      </w:pPr>
      <w:r>
        <w:rPr>
          <w:rFonts w:hint="eastAsia" w:ascii="Times New Roman" w:hAnsi="Times New Roman" w:eastAsia="宋体" w:cs="Times New Roman"/>
          <w:b/>
          <w:szCs w:val="21"/>
        </w:rPr>
        <w:t>表4 评分标准</w:t>
      </w:r>
    </w:p>
    <w:tbl>
      <w:tblPr>
        <w:tblStyle w:val="10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1647"/>
        <w:gridCol w:w="1647"/>
        <w:gridCol w:w="1647"/>
        <w:gridCol w:w="1648"/>
        <w:gridCol w:w="16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7" w:type="pct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考核项目</w:t>
            </w:r>
          </w:p>
        </w:tc>
        <w:tc>
          <w:tcPr>
            <w:tcW w:w="4413" w:type="pct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评分</w:t>
            </w:r>
            <w:r>
              <w:rPr>
                <w:rFonts w:ascii="Times New Roman" w:hAnsi="Times New Roman"/>
                <w:b/>
                <w:szCs w:val="21"/>
              </w:rPr>
              <w:t>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7" w:type="pct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88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100&gt;x</w:t>
            </w:r>
            <w:r>
              <w:rPr>
                <w:rFonts w:hint="eastAsia" w:ascii="宋体" w:hAnsi="宋体"/>
                <w:b/>
                <w:szCs w:val="21"/>
              </w:rPr>
              <w:t>≥</w:t>
            </w:r>
            <w:r>
              <w:rPr>
                <w:rFonts w:ascii="Times New Roman" w:hAnsi="Times New Roman"/>
                <w:b/>
                <w:szCs w:val="21"/>
              </w:rPr>
              <w:t>90</w:t>
            </w:r>
            <w:r>
              <w:rPr>
                <w:rFonts w:hint="eastAsia" w:ascii="Times New Roman" w:hAnsi="Times New Roman"/>
                <w:b/>
                <w:szCs w:val="21"/>
              </w:rPr>
              <w:t>)</w:t>
            </w:r>
          </w:p>
        </w:tc>
        <w:tc>
          <w:tcPr>
            <w:tcW w:w="88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90&gt; x</w:t>
            </w:r>
            <w:r>
              <w:rPr>
                <w:rFonts w:hint="eastAsia" w:ascii="宋体" w:hAnsi="宋体"/>
                <w:b/>
                <w:szCs w:val="21"/>
              </w:rPr>
              <w:t>≥</w:t>
            </w:r>
            <w:r>
              <w:rPr>
                <w:rFonts w:ascii="Times New Roman" w:hAnsi="Times New Roman"/>
                <w:b/>
                <w:szCs w:val="21"/>
              </w:rPr>
              <w:t>80)</w:t>
            </w:r>
          </w:p>
        </w:tc>
        <w:tc>
          <w:tcPr>
            <w:tcW w:w="88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中等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80&gt; x</w:t>
            </w:r>
            <w:r>
              <w:rPr>
                <w:rFonts w:hint="eastAsia" w:ascii="宋体" w:hAnsi="宋体"/>
                <w:b/>
                <w:szCs w:val="21"/>
              </w:rPr>
              <w:t>≥</w:t>
            </w:r>
            <w:r>
              <w:rPr>
                <w:rFonts w:ascii="Times New Roman" w:hAnsi="Times New Roman"/>
                <w:b/>
                <w:szCs w:val="21"/>
              </w:rPr>
              <w:t>70</w:t>
            </w:r>
            <w:r>
              <w:rPr>
                <w:rFonts w:hint="eastAsia" w:ascii="Times New Roman" w:hAnsi="Times New Roman"/>
                <w:b/>
                <w:szCs w:val="21"/>
              </w:rPr>
              <w:t>)</w:t>
            </w:r>
          </w:p>
        </w:tc>
        <w:tc>
          <w:tcPr>
            <w:tcW w:w="88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70&gt; x</w:t>
            </w:r>
            <w:r>
              <w:rPr>
                <w:rFonts w:hint="eastAsia" w:ascii="宋体" w:hAnsi="宋体"/>
                <w:b/>
                <w:szCs w:val="21"/>
              </w:rPr>
              <w:t>≥</w:t>
            </w:r>
            <w:r>
              <w:rPr>
                <w:rFonts w:ascii="Times New Roman" w:hAnsi="Times New Roman"/>
                <w:b/>
                <w:szCs w:val="21"/>
              </w:rPr>
              <w:t>60</w:t>
            </w:r>
            <w:r>
              <w:rPr>
                <w:rFonts w:hint="eastAsia" w:ascii="Times New Roman" w:hAnsi="Times New Roman"/>
                <w:b/>
                <w:szCs w:val="21"/>
              </w:rPr>
              <w:t>)</w:t>
            </w:r>
          </w:p>
        </w:tc>
        <w:tc>
          <w:tcPr>
            <w:tcW w:w="86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x &lt;60</w:t>
            </w:r>
            <w:r>
              <w:rPr>
                <w:rFonts w:hint="eastAsia" w:ascii="Times New Roman" w:hAnsi="Times New Roman"/>
                <w:b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9" w:hRule="atLeast"/>
          <w:jc w:val="center"/>
        </w:trPr>
        <w:tc>
          <w:tcPr>
            <w:tcW w:w="587" w:type="pct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调研报告</w:t>
            </w:r>
          </w:p>
        </w:tc>
        <w:tc>
          <w:tcPr>
            <w:tcW w:w="887" w:type="pct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选题具有非常积极的社会意义；内容丰富，材料翔实；开展了充分的民间艺术调研工作，对艺术现象和艺术问题有一定的研究和思考，问题解决的措施和方案合理、到位；结构严谨，语言流畅</w:t>
            </w:r>
            <w:r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887" w:type="pct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Cs w:val="21"/>
              </w:rPr>
              <w:t>选题具有较高的社会价值；内容比较丰富，材料较为翔实；开展了较为充分的民间艺术调研工作，能运用专业知识分析艺术现象和艺术问题，并能提出一些可行的问题解决的措施和方案；结构比较严谨，语言比较流畅。</w:t>
            </w:r>
          </w:p>
        </w:tc>
        <w:tc>
          <w:tcPr>
            <w:tcW w:w="887" w:type="pct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选题具有一定的社会价值；内容和材料符合要求；开展了一定的民间艺术调研工作，能如实阐述某个艺术现象和艺术问题，观点正确；结构合理，语言表达通顺。</w:t>
            </w:r>
          </w:p>
        </w:tc>
        <w:tc>
          <w:tcPr>
            <w:tcW w:w="887" w:type="pct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选题基本合理、得当；内容和材料基本符合要求；实际开展了民间艺术调研工作，观点基本正确，论证基本充分；结构基本合理，语言表达较为通顺。</w:t>
            </w:r>
          </w:p>
        </w:tc>
        <w:tc>
          <w:tcPr>
            <w:tcW w:w="865" w:type="pct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选题不合理；内容和材料较为单薄，未达到要求；未开展实际的调研工作，对艺术现象和艺术问题的分析不合理，观点有明显错误；结构混乱，语言表达不通顺。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7" w:type="pct"/>
            <w:vAlign w:val="center"/>
          </w:tcPr>
          <w:p>
            <w:pPr>
              <w:adjustRightInd w:val="0"/>
              <w:snapToGrid w:val="0"/>
              <w:spacing w:line="440" w:lineRule="exact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/>
              </w:rPr>
              <w:t>课程作品</w:t>
            </w:r>
          </w:p>
        </w:tc>
        <w:tc>
          <w:tcPr>
            <w:tcW w:w="887" w:type="pct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创作过程</w:t>
            </w:r>
            <w:r>
              <w:rPr>
                <w:rFonts w:ascii="Times New Roman" w:hAnsi="Times New Roman" w:cs="Times New Roman"/>
                <w:szCs w:val="21"/>
              </w:rPr>
              <w:t>有条理，</w:t>
            </w:r>
            <w:r>
              <w:rPr>
                <w:rFonts w:hint="eastAsia" w:ascii="Times New Roman" w:hAnsi="Times New Roman" w:cs="Times New Roman"/>
                <w:szCs w:val="21"/>
              </w:rPr>
              <w:t>思路清晰，步骤</w:t>
            </w:r>
            <w:r>
              <w:rPr>
                <w:rFonts w:ascii="Times New Roman" w:hAnsi="Times New Roman" w:cs="Times New Roman"/>
                <w:szCs w:val="21"/>
              </w:rPr>
              <w:t>完整；</w:t>
            </w:r>
            <w:r>
              <w:rPr>
                <w:rFonts w:hint="eastAsia" w:ascii="Times New Roman" w:hAnsi="Times New Roman" w:cs="Times New Roman"/>
                <w:szCs w:val="21"/>
              </w:rPr>
              <w:t>能够</w:t>
            </w:r>
            <w:r>
              <w:rPr>
                <w:rFonts w:ascii="Times New Roman" w:hAnsi="Times New Roman" w:cs="Times New Roman"/>
                <w:szCs w:val="21"/>
              </w:rPr>
              <w:t>根据实际情况及时、恰当进行优化和调整；</w:t>
            </w:r>
            <w:r>
              <w:rPr>
                <w:rFonts w:hint="eastAsia" w:ascii="Times New Roman" w:hAnsi="Times New Roman" w:cs="Times New Roman"/>
                <w:szCs w:val="21"/>
              </w:rPr>
              <w:t>创作作品</w:t>
            </w:r>
            <w:r>
              <w:rPr>
                <w:rFonts w:ascii="Times New Roman" w:hAnsi="Times New Roman" w:cs="Times New Roman"/>
                <w:szCs w:val="21"/>
              </w:rPr>
              <w:t>能够充分体现民间特色；创作作品完成度高，</w:t>
            </w:r>
            <w:r>
              <w:rPr>
                <w:rFonts w:hint="eastAsia" w:ascii="Times New Roman" w:hAnsi="Times New Roman" w:cs="Times New Roman"/>
                <w:szCs w:val="21"/>
              </w:rPr>
              <w:t>具有</w:t>
            </w:r>
            <w:r>
              <w:rPr>
                <w:rFonts w:ascii="Times New Roman" w:hAnsi="Times New Roman" w:cs="Times New Roman"/>
                <w:szCs w:val="21"/>
              </w:rPr>
              <w:t>充分的艺术表现力。</w:t>
            </w:r>
          </w:p>
        </w:tc>
        <w:tc>
          <w:tcPr>
            <w:tcW w:w="88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创作过程比较</w:t>
            </w:r>
            <w:r>
              <w:rPr>
                <w:rFonts w:ascii="Times New Roman" w:hAnsi="Times New Roman" w:cs="Times New Roman"/>
                <w:szCs w:val="21"/>
              </w:rPr>
              <w:t>有条理，</w:t>
            </w:r>
            <w:r>
              <w:rPr>
                <w:rFonts w:hint="eastAsia" w:ascii="Times New Roman" w:hAnsi="Times New Roman" w:cs="Times New Roman"/>
                <w:szCs w:val="21"/>
              </w:rPr>
              <w:t>思路清晰，步骤</w:t>
            </w:r>
            <w:r>
              <w:rPr>
                <w:rFonts w:ascii="Times New Roman" w:hAnsi="Times New Roman" w:cs="Times New Roman"/>
                <w:szCs w:val="21"/>
              </w:rPr>
              <w:t>完整；</w:t>
            </w:r>
            <w:r>
              <w:rPr>
                <w:rFonts w:hint="eastAsia" w:ascii="Times New Roman" w:hAnsi="Times New Roman" w:cs="Times New Roman"/>
                <w:szCs w:val="21"/>
              </w:rPr>
              <w:t>比较能够</w:t>
            </w:r>
            <w:r>
              <w:rPr>
                <w:rFonts w:ascii="Times New Roman" w:hAnsi="Times New Roman" w:cs="Times New Roman"/>
                <w:szCs w:val="21"/>
              </w:rPr>
              <w:t>根据实际情况进行优化和调整；</w:t>
            </w:r>
            <w:r>
              <w:rPr>
                <w:rFonts w:hint="eastAsia" w:ascii="Times New Roman" w:hAnsi="Times New Roman" w:cs="Times New Roman"/>
                <w:szCs w:val="21"/>
              </w:rPr>
              <w:t>创作作品能够体现较</w:t>
            </w:r>
            <w:r>
              <w:rPr>
                <w:rFonts w:ascii="Times New Roman" w:hAnsi="Times New Roman" w:cs="Times New Roman"/>
                <w:szCs w:val="21"/>
              </w:rPr>
              <w:t>鲜明</w:t>
            </w:r>
            <w:r>
              <w:rPr>
                <w:rFonts w:hint="eastAsia" w:ascii="Times New Roman" w:hAnsi="Times New Roman" w:cs="Times New Roman"/>
                <w:szCs w:val="21"/>
              </w:rPr>
              <w:t>的民间特色；</w:t>
            </w:r>
            <w:r>
              <w:rPr>
                <w:rFonts w:ascii="Times New Roman" w:hAnsi="Times New Roman" w:cs="Times New Roman"/>
                <w:szCs w:val="21"/>
              </w:rPr>
              <w:t>创作作品完成度</w:t>
            </w:r>
            <w:r>
              <w:rPr>
                <w:rFonts w:hint="eastAsia" w:ascii="Times New Roman" w:hAnsi="Times New Roman" w:cs="Times New Roman"/>
                <w:szCs w:val="21"/>
              </w:rPr>
              <w:t>较</w:t>
            </w:r>
            <w:r>
              <w:rPr>
                <w:rFonts w:ascii="Times New Roman" w:hAnsi="Times New Roman" w:cs="Times New Roman"/>
                <w:szCs w:val="21"/>
              </w:rPr>
              <w:t>高，</w:t>
            </w:r>
            <w:r>
              <w:rPr>
                <w:rFonts w:hint="eastAsia" w:ascii="Times New Roman" w:hAnsi="Times New Roman" w:cs="Times New Roman"/>
                <w:szCs w:val="21"/>
              </w:rPr>
              <w:t>具有一定</w:t>
            </w:r>
            <w:r>
              <w:rPr>
                <w:rFonts w:ascii="Times New Roman" w:hAnsi="Times New Roman" w:cs="Times New Roman"/>
                <w:szCs w:val="21"/>
              </w:rPr>
              <w:t>艺术表现力。</w:t>
            </w:r>
          </w:p>
        </w:tc>
        <w:tc>
          <w:tcPr>
            <w:tcW w:w="88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创作过程思路清晰，步骤</w:t>
            </w:r>
            <w:r>
              <w:rPr>
                <w:rFonts w:ascii="Times New Roman" w:hAnsi="Times New Roman" w:cs="Times New Roman"/>
                <w:szCs w:val="21"/>
              </w:rPr>
              <w:t>完整；</w:t>
            </w:r>
            <w:r>
              <w:rPr>
                <w:rFonts w:hint="eastAsia" w:ascii="Times New Roman" w:hAnsi="Times New Roman" w:cs="Times New Roman"/>
                <w:szCs w:val="21"/>
              </w:rPr>
              <w:t>能够</w:t>
            </w:r>
            <w:r>
              <w:rPr>
                <w:rFonts w:ascii="Times New Roman" w:hAnsi="Times New Roman" w:cs="Times New Roman"/>
                <w:szCs w:val="21"/>
              </w:rPr>
              <w:t>根据实际情况进行优化和调整；</w:t>
            </w:r>
            <w:r>
              <w:rPr>
                <w:rFonts w:hint="eastAsia" w:ascii="Times New Roman" w:hAnsi="Times New Roman" w:cs="Times New Roman"/>
                <w:szCs w:val="21"/>
              </w:rPr>
              <w:t>创作作品能够体现民间特色；</w:t>
            </w:r>
            <w:r>
              <w:rPr>
                <w:rFonts w:ascii="Times New Roman" w:hAnsi="Times New Roman" w:cs="Times New Roman"/>
                <w:szCs w:val="21"/>
              </w:rPr>
              <w:t>创作作品</w:t>
            </w:r>
            <w:r>
              <w:rPr>
                <w:rFonts w:hint="eastAsia" w:ascii="Times New Roman" w:hAnsi="Times New Roman" w:cs="Times New Roman"/>
                <w:szCs w:val="21"/>
              </w:rPr>
              <w:t>具有</w:t>
            </w:r>
            <w:r>
              <w:rPr>
                <w:rFonts w:ascii="Times New Roman" w:hAnsi="Times New Roman" w:cs="Times New Roman"/>
                <w:szCs w:val="21"/>
              </w:rPr>
              <w:t>一定完成度。</w:t>
            </w:r>
          </w:p>
        </w:tc>
        <w:tc>
          <w:tcPr>
            <w:tcW w:w="88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创作过程步骤基本</w:t>
            </w:r>
            <w:r>
              <w:rPr>
                <w:rFonts w:ascii="Times New Roman" w:hAnsi="Times New Roman" w:cs="Times New Roman"/>
                <w:szCs w:val="21"/>
              </w:rPr>
              <w:t>完整；</w:t>
            </w:r>
            <w:r>
              <w:rPr>
                <w:rFonts w:hint="eastAsia" w:ascii="Times New Roman" w:hAnsi="Times New Roman" w:cs="Times New Roman"/>
                <w:szCs w:val="21"/>
              </w:rPr>
              <w:t>创作作品基本能够体现民间特色；</w:t>
            </w:r>
            <w:r>
              <w:rPr>
                <w:rFonts w:ascii="Times New Roman" w:hAnsi="Times New Roman" w:cs="Times New Roman"/>
                <w:szCs w:val="21"/>
              </w:rPr>
              <w:t>创作作品</w:t>
            </w:r>
            <w:r>
              <w:rPr>
                <w:rFonts w:hint="eastAsia" w:ascii="Times New Roman" w:hAnsi="Times New Roman" w:cs="Times New Roman"/>
                <w:szCs w:val="21"/>
              </w:rPr>
              <w:t>具有基本完成度</w:t>
            </w:r>
            <w:r>
              <w:rPr>
                <w:rFonts w:ascii="Times New Roman" w:hAnsi="Times New Roman" w:cs="Times New Roman"/>
                <w:szCs w:val="21"/>
              </w:rPr>
              <w:t>。</w:t>
            </w:r>
          </w:p>
        </w:tc>
        <w:tc>
          <w:tcPr>
            <w:tcW w:w="865" w:type="pct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不能够完成</w:t>
            </w:r>
            <w:r>
              <w:rPr>
                <w:rFonts w:ascii="Times New Roman" w:hAnsi="Times New Roman" w:cs="Times New Roman"/>
                <w:szCs w:val="21"/>
              </w:rPr>
              <w:t>创作作品。</w:t>
            </w:r>
          </w:p>
        </w:tc>
      </w:tr>
    </w:tbl>
    <w:p>
      <w:pPr>
        <w:kinsoku w:val="0"/>
        <w:overflowPunct w:val="0"/>
        <w:autoSpaceDE w:val="0"/>
        <w:autoSpaceDN w:val="0"/>
        <w:adjustRightInd w:val="0"/>
        <w:snapToGrid w:val="0"/>
        <w:spacing w:after="120" w:afterLines="50"/>
        <w:ind w:firstLine="281" w:firstLineChars="100"/>
        <w:jc w:val="left"/>
        <w:outlineLvl w:val="1"/>
        <w:rPr>
          <w:rFonts w:ascii="Times New Roman" w:hAnsi="Times New Roman" w:eastAsia="黑体" w:cs="Times New Roman"/>
          <w:b/>
          <w:kern w:val="0"/>
          <w:sz w:val="28"/>
          <w:szCs w:val="28"/>
        </w:rPr>
      </w:pPr>
    </w:p>
    <w:p>
      <w:pPr>
        <w:kinsoku w:val="0"/>
        <w:overflowPunct w:val="0"/>
        <w:autoSpaceDE w:val="0"/>
        <w:autoSpaceDN w:val="0"/>
        <w:adjustRightInd w:val="0"/>
        <w:snapToGrid w:val="0"/>
        <w:spacing w:after="120" w:afterLines="50"/>
        <w:ind w:firstLine="562" w:firstLineChars="200"/>
        <w:jc w:val="left"/>
        <w:outlineLvl w:val="1"/>
        <w:rPr>
          <w:rFonts w:ascii="Times New Roman" w:hAnsi="Times New Roman" w:eastAsia="黑体" w:cs="Times New Roman"/>
          <w:b/>
          <w:kern w:val="0"/>
          <w:sz w:val="28"/>
          <w:szCs w:val="28"/>
        </w:rPr>
      </w:pPr>
      <w:r>
        <w:rPr>
          <w:rFonts w:ascii="Times New Roman" w:hAnsi="Times New Roman" w:eastAsia="黑体" w:cs="Times New Roman"/>
          <w:b/>
          <w:kern w:val="0"/>
          <w:sz w:val="28"/>
          <w:szCs w:val="28"/>
        </w:rPr>
        <w:t>五、其他说明</w:t>
      </w:r>
    </w:p>
    <w:p>
      <w:pPr>
        <w:spacing w:line="360" w:lineRule="auto"/>
        <w:ind w:firstLine="480" w:firstLineChars="200"/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本课程大纲依据2023版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雕塑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专业人才培养方案，由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美术学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院（部）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美术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学系（教研室）讨论制定，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美术学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院（部）教学工作委员会审定，教务处审核批准，自2023级开始执行。</w: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3360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NlkGf1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2336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DCwqiG2AAAAA0BAAAPAAAAAAAAAAEAIAAA&#10;ACIAAABkcnMvZG93bnJldi54bWxQSwECFAAUAAAACACHTuJAXkkb6n4CAABABQAADgAAAAAAAAAB&#10;ACAAAAAnAQAAZHJzL2Uyb0RvYy54bWxQSwUGAAAAAAYABgBZAQAAFwYAAAAA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1312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BxQylF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17" w:right="1417" w:bottom="1417" w:left="141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4F7A504-1EE4-43AF-BEBF-C1A8646CDFA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BC3FF47B-FAD3-45D6-8030-3B2DBF3BED36}"/>
  </w:font>
  <w:font w:name="明黑等宽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3" w:fontKey="{E581A8EA-C761-4362-874E-846604AA2C6A}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  <w:embedRegular r:id="rId4" w:fontKey="{03B6DFEF-0528-4C0A-A153-EFAEE73111F7}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imes">
    <w:altName w:val="Times New Roman"/>
    <w:panose1 w:val="00000000000000000000"/>
    <w:charset w:val="00"/>
    <w:family w:val="roman"/>
    <w:pitch w:val="default"/>
    <w:sig w:usb0="00000000" w:usb1="00000000" w:usb2="00000009" w:usb3="00000000" w:csb0="000001FF" w:csb1="00000000"/>
    <w:embedRegular r:id="rId5" w:fontKey="{F8EF27A2-F16A-440D-8992-ED51AFB3B354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ascii="宋体" w:hAnsi="宋体" w:eastAsia="宋体" w:cs="宋体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</w:rPr>
                            <w:t>7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ascii="宋体" w:hAnsi="宋体" w:eastAsia="宋体" w:cs="宋体"/>
                      </w:rPr>
                    </w:pP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</w:rPr>
                      <w:t>7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ZmZjc5YmViNWJjYTNjYmUzNmUzMzA2NTY0NTA1YTMifQ=="/>
  </w:docVars>
  <w:rsids>
    <w:rsidRoot w:val="008F4441"/>
    <w:rsid w:val="00001AA7"/>
    <w:rsid w:val="00085F49"/>
    <w:rsid w:val="000C5191"/>
    <w:rsid w:val="000D32B7"/>
    <w:rsid w:val="000D6B29"/>
    <w:rsid w:val="0017779D"/>
    <w:rsid w:val="001C72BE"/>
    <w:rsid w:val="001D02A4"/>
    <w:rsid w:val="001D24B0"/>
    <w:rsid w:val="001F0978"/>
    <w:rsid w:val="0020782F"/>
    <w:rsid w:val="00241260"/>
    <w:rsid w:val="00251577"/>
    <w:rsid w:val="00262F6C"/>
    <w:rsid w:val="002778F9"/>
    <w:rsid w:val="00283584"/>
    <w:rsid w:val="002910DD"/>
    <w:rsid w:val="002B792B"/>
    <w:rsid w:val="002D2036"/>
    <w:rsid w:val="002D45DB"/>
    <w:rsid w:val="00300172"/>
    <w:rsid w:val="00300590"/>
    <w:rsid w:val="00317DE6"/>
    <w:rsid w:val="00323670"/>
    <w:rsid w:val="003674F5"/>
    <w:rsid w:val="003C51E5"/>
    <w:rsid w:val="00400041"/>
    <w:rsid w:val="0044332C"/>
    <w:rsid w:val="0047606F"/>
    <w:rsid w:val="004770EC"/>
    <w:rsid w:val="004C1AA7"/>
    <w:rsid w:val="004C400D"/>
    <w:rsid w:val="004F64DB"/>
    <w:rsid w:val="00530E74"/>
    <w:rsid w:val="005424AA"/>
    <w:rsid w:val="00544EAA"/>
    <w:rsid w:val="005538AE"/>
    <w:rsid w:val="005A5574"/>
    <w:rsid w:val="005B4C10"/>
    <w:rsid w:val="005F1800"/>
    <w:rsid w:val="005F1B56"/>
    <w:rsid w:val="006035BD"/>
    <w:rsid w:val="00645ABD"/>
    <w:rsid w:val="0069497C"/>
    <w:rsid w:val="0071788B"/>
    <w:rsid w:val="00745EBA"/>
    <w:rsid w:val="00750074"/>
    <w:rsid w:val="00755E85"/>
    <w:rsid w:val="00790C11"/>
    <w:rsid w:val="007A2E5A"/>
    <w:rsid w:val="007A7C26"/>
    <w:rsid w:val="008E3F93"/>
    <w:rsid w:val="008F4441"/>
    <w:rsid w:val="00903BA2"/>
    <w:rsid w:val="0095354D"/>
    <w:rsid w:val="00957A81"/>
    <w:rsid w:val="009F7E5F"/>
    <w:rsid w:val="00A02E2B"/>
    <w:rsid w:val="00A06B83"/>
    <w:rsid w:val="00A17432"/>
    <w:rsid w:val="00A21D4B"/>
    <w:rsid w:val="00A23A71"/>
    <w:rsid w:val="00A85A67"/>
    <w:rsid w:val="00A90958"/>
    <w:rsid w:val="00A968EB"/>
    <w:rsid w:val="00AD3E5A"/>
    <w:rsid w:val="00AD5FBC"/>
    <w:rsid w:val="00C2471D"/>
    <w:rsid w:val="00C35DA5"/>
    <w:rsid w:val="00C431A3"/>
    <w:rsid w:val="00C526E0"/>
    <w:rsid w:val="00C67328"/>
    <w:rsid w:val="00CA11BB"/>
    <w:rsid w:val="00CA1EBC"/>
    <w:rsid w:val="00D01DF5"/>
    <w:rsid w:val="00D076DC"/>
    <w:rsid w:val="00D150FB"/>
    <w:rsid w:val="00D30B38"/>
    <w:rsid w:val="00D457CD"/>
    <w:rsid w:val="00D5797A"/>
    <w:rsid w:val="00D73A2F"/>
    <w:rsid w:val="00DB5B0E"/>
    <w:rsid w:val="00DE02F3"/>
    <w:rsid w:val="00E35B53"/>
    <w:rsid w:val="00E63F3C"/>
    <w:rsid w:val="00E93D44"/>
    <w:rsid w:val="00EC4EB7"/>
    <w:rsid w:val="00EC72F8"/>
    <w:rsid w:val="00ED5A20"/>
    <w:rsid w:val="00F01076"/>
    <w:rsid w:val="00F03B7C"/>
    <w:rsid w:val="00F43CB4"/>
    <w:rsid w:val="00F47977"/>
    <w:rsid w:val="00F856C2"/>
    <w:rsid w:val="00F93584"/>
    <w:rsid w:val="00FA6ED5"/>
    <w:rsid w:val="00FB1211"/>
    <w:rsid w:val="00FC5532"/>
    <w:rsid w:val="00FD7677"/>
    <w:rsid w:val="00FE1C84"/>
    <w:rsid w:val="00FF64D3"/>
    <w:rsid w:val="01120791"/>
    <w:rsid w:val="034E1DC3"/>
    <w:rsid w:val="03D70161"/>
    <w:rsid w:val="04DD58A2"/>
    <w:rsid w:val="05197D6A"/>
    <w:rsid w:val="06EE06AA"/>
    <w:rsid w:val="070C7D07"/>
    <w:rsid w:val="07222102"/>
    <w:rsid w:val="077E1A2E"/>
    <w:rsid w:val="07F91CE1"/>
    <w:rsid w:val="0AC459AA"/>
    <w:rsid w:val="0B927A0B"/>
    <w:rsid w:val="0F18017D"/>
    <w:rsid w:val="0FF87397"/>
    <w:rsid w:val="119360D6"/>
    <w:rsid w:val="125E66E4"/>
    <w:rsid w:val="14103A0E"/>
    <w:rsid w:val="162419F3"/>
    <w:rsid w:val="17B374D2"/>
    <w:rsid w:val="19D43730"/>
    <w:rsid w:val="1A48253C"/>
    <w:rsid w:val="1A4B1C44"/>
    <w:rsid w:val="1A7726B2"/>
    <w:rsid w:val="1B414DF5"/>
    <w:rsid w:val="1E287231"/>
    <w:rsid w:val="20223F7A"/>
    <w:rsid w:val="207D72AE"/>
    <w:rsid w:val="21582E98"/>
    <w:rsid w:val="226E2973"/>
    <w:rsid w:val="242F7EE0"/>
    <w:rsid w:val="248F084E"/>
    <w:rsid w:val="263317DE"/>
    <w:rsid w:val="26BE72FA"/>
    <w:rsid w:val="26E306E5"/>
    <w:rsid w:val="293728C2"/>
    <w:rsid w:val="2A461AE0"/>
    <w:rsid w:val="2B02634F"/>
    <w:rsid w:val="2BB4371F"/>
    <w:rsid w:val="2BCB2591"/>
    <w:rsid w:val="2C22657D"/>
    <w:rsid w:val="2C736DD8"/>
    <w:rsid w:val="2CB34E5F"/>
    <w:rsid w:val="2FF975F4"/>
    <w:rsid w:val="306929CC"/>
    <w:rsid w:val="30740B8E"/>
    <w:rsid w:val="312D6D0B"/>
    <w:rsid w:val="31F56894"/>
    <w:rsid w:val="3282783E"/>
    <w:rsid w:val="357E2A76"/>
    <w:rsid w:val="37D36930"/>
    <w:rsid w:val="38417D8A"/>
    <w:rsid w:val="397573D2"/>
    <w:rsid w:val="3B6B584A"/>
    <w:rsid w:val="3BA96182"/>
    <w:rsid w:val="3C1B3369"/>
    <w:rsid w:val="3DC74EB7"/>
    <w:rsid w:val="3E964963"/>
    <w:rsid w:val="40141058"/>
    <w:rsid w:val="407E4A91"/>
    <w:rsid w:val="42B775C7"/>
    <w:rsid w:val="44354C47"/>
    <w:rsid w:val="446F7A2D"/>
    <w:rsid w:val="46A47E62"/>
    <w:rsid w:val="47F81D88"/>
    <w:rsid w:val="4924660E"/>
    <w:rsid w:val="4A29153F"/>
    <w:rsid w:val="4DAB1AD6"/>
    <w:rsid w:val="4E8D742E"/>
    <w:rsid w:val="4FE65048"/>
    <w:rsid w:val="513B715E"/>
    <w:rsid w:val="52091B85"/>
    <w:rsid w:val="52140592"/>
    <w:rsid w:val="52960A2E"/>
    <w:rsid w:val="55320D2F"/>
    <w:rsid w:val="56823412"/>
    <w:rsid w:val="5BD963A8"/>
    <w:rsid w:val="5D0E3E30"/>
    <w:rsid w:val="5D8331B0"/>
    <w:rsid w:val="5E79468E"/>
    <w:rsid w:val="608D0B53"/>
    <w:rsid w:val="624327CD"/>
    <w:rsid w:val="63556314"/>
    <w:rsid w:val="64351656"/>
    <w:rsid w:val="668C2539"/>
    <w:rsid w:val="67191D4F"/>
    <w:rsid w:val="685D5060"/>
    <w:rsid w:val="68701E42"/>
    <w:rsid w:val="692C5D69"/>
    <w:rsid w:val="6B482C03"/>
    <w:rsid w:val="70231548"/>
    <w:rsid w:val="71B54BFD"/>
    <w:rsid w:val="72206680"/>
    <w:rsid w:val="72586617"/>
    <w:rsid w:val="73EB7799"/>
    <w:rsid w:val="73FE6554"/>
    <w:rsid w:val="77673BC6"/>
    <w:rsid w:val="789B7681"/>
    <w:rsid w:val="79F006ED"/>
    <w:rsid w:val="7A5073DE"/>
    <w:rsid w:val="7BDC361F"/>
    <w:rsid w:val="7DC3064F"/>
    <w:rsid w:val="7DD00E8B"/>
    <w:rsid w:val="7F070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1"/>
    <w:pPr>
      <w:spacing w:before="61"/>
      <w:ind w:left="642"/>
      <w:outlineLvl w:val="1"/>
    </w:pPr>
    <w:rPr>
      <w:rFonts w:hint="eastAsia" w:ascii="明黑等宽" w:eastAsia="明黑等宽" w:cs="明黑等宽"/>
      <w:b/>
      <w:sz w:val="28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unhideWhenUsed/>
    <w:qFormat/>
    <w:uiPriority w:val="99"/>
    <w:pPr>
      <w:jc w:val="left"/>
    </w:pPr>
  </w:style>
  <w:style w:type="paragraph" w:styleId="4">
    <w:name w:val="Body Text"/>
    <w:basedOn w:val="1"/>
    <w:link w:val="22"/>
    <w:qFormat/>
    <w:uiPriority w:val="1"/>
    <w:pPr>
      <w:autoSpaceDE w:val="0"/>
      <w:autoSpaceDN w:val="0"/>
      <w:adjustRightInd w:val="0"/>
      <w:jc w:val="left"/>
    </w:pPr>
    <w:rPr>
      <w:rFonts w:ascii="宋体" w:hAnsi="Times New Roman" w:eastAsia="宋体" w:cs="宋体"/>
      <w:kern w:val="0"/>
      <w:sz w:val="24"/>
      <w:szCs w:val="24"/>
    </w:rPr>
  </w:style>
  <w:style w:type="paragraph" w:styleId="5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7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9">
    <w:name w:val="annotation subject"/>
    <w:basedOn w:val="3"/>
    <w:next w:val="3"/>
    <w:link w:val="20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3">
    <w:name w:val="Strong"/>
    <w:basedOn w:val="12"/>
    <w:qFormat/>
    <w:uiPriority w:val="99"/>
    <w:rPr>
      <w:rFonts w:cs="Times New Roman"/>
      <w:b/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页眉 字符"/>
    <w:basedOn w:val="12"/>
    <w:link w:val="7"/>
    <w:qFormat/>
    <w:uiPriority w:val="99"/>
    <w:rPr>
      <w:sz w:val="18"/>
      <w:szCs w:val="18"/>
    </w:rPr>
  </w:style>
  <w:style w:type="character" w:customStyle="1" w:styleId="16">
    <w:name w:val="页脚 字符"/>
    <w:basedOn w:val="12"/>
    <w:link w:val="6"/>
    <w:qFormat/>
    <w:uiPriority w:val="99"/>
    <w:rPr>
      <w:sz w:val="18"/>
      <w:szCs w:val="18"/>
    </w:rPr>
  </w:style>
  <w:style w:type="character" w:customStyle="1" w:styleId="17">
    <w:name w:val="标题 字符"/>
    <w:basedOn w:val="12"/>
    <w:link w:val="8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8">
    <w:name w:val="批注文字 字符"/>
    <w:basedOn w:val="12"/>
    <w:link w:val="3"/>
    <w:qFormat/>
    <w:uiPriority w:val="99"/>
  </w:style>
  <w:style w:type="character" w:customStyle="1" w:styleId="19">
    <w:name w:val="批注框文本 字符"/>
    <w:basedOn w:val="12"/>
    <w:link w:val="5"/>
    <w:semiHidden/>
    <w:qFormat/>
    <w:uiPriority w:val="99"/>
    <w:rPr>
      <w:sz w:val="18"/>
      <w:szCs w:val="18"/>
    </w:rPr>
  </w:style>
  <w:style w:type="character" w:customStyle="1" w:styleId="20">
    <w:name w:val="批注主题 字符"/>
    <w:basedOn w:val="18"/>
    <w:link w:val="9"/>
    <w:semiHidden/>
    <w:qFormat/>
    <w:uiPriority w:val="99"/>
    <w:rPr>
      <w:b/>
      <w:bCs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正文文本 字符"/>
    <w:basedOn w:val="12"/>
    <w:link w:val="4"/>
    <w:qFormat/>
    <w:uiPriority w:val="1"/>
    <w:rPr>
      <w:rFonts w:ascii="宋体" w:hAnsi="Times New Roman" w:eastAsia="宋体" w:cs="宋体"/>
      <w:kern w:val="0"/>
      <w:sz w:val="24"/>
      <w:szCs w:val="24"/>
    </w:rPr>
  </w:style>
  <w:style w:type="paragraph" w:customStyle="1" w:styleId="23">
    <w:name w:val="在表格内文字"/>
    <w:basedOn w:val="1"/>
    <w:qFormat/>
    <w:uiPriority w:val="0"/>
    <w:rPr>
      <w:rFonts w:ascii="Times New Roman" w:hAnsi="Times New Roman" w:eastAsia="楷体" w:cs="Times New Roman"/>
      <w:szCs w:val="24"/>
    </w:rPr>
  </w:style>
  <w:style w:type="paragraph" w:customStyle="1" w:styleId="24">
    <w:name w:val="Table Paragraph"/>
    <w:unhideWhenUsed/>
    <w:qFormat/>
    <w:uiPriority w:val="1"/>
    <w:pPr>
      <w:widowControl w:val="0"/>
      <w:autoSpaceDE w:val="0"/>
      <w:autoSpaceDN w:val="0"/>
      <w:adjustRightInd w:val="0"/>
    </w:pPr>
    <w:rPr>
      <w:rFonts w:hint="eastAsia" w:ascii="宋体" w:hAnsi="Times New Roman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848</Words>
  <Characters>4840</Characters>
  <Lines>40</Lines>
  <Paragraphs>11</Paragraphs>
  <TotalTime>1</TotalTime>
  <ScaleCrop>false</ScaleCrop>
  <LinksUpToDate>false</LinksUpToDate>
  <CharactersWithSpaces>5677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2023-06-25T12:43:00Z</dcterms:created>
  <dc:creator>曾秀红</dc:creator>
  <cp:lastModifiedBy>麒麟之子</cp:lastModifiedBy>
  <cp:lastPrinted>2023-06-27T02:37:00Z</cp:lastPrinted>
  <dcterms:modified xsi:type="dcterms:W3CDTF">2023-11-20T17:43:46Z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FD8711C8E893460191F859DFB222C441_13</vt:lpwstr>
  </property>
</Properties>
</file>