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val="en-US" w:eastAsia="zh-CN"/>
        </w:rPr>
        <w:t>环境雕塑</w:t>
      </w:r>
      <w:r>
        <w:rPr>
          <w:rFonts w:hint="default" w:ascii="Times New Roman" w:hAnsi="Times New Roman" w:eastAsia="黑体" w:cs="Times New Roman"/>
          <w:b/>
          <w:kern w:val="0"/>
          <w:sz w:val="32"/>
          <w:szCs w:val="32"/>
        </w:rPr>
        <w:t>》实验课程教学大纲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一、课程简介</w:t>
      </w:r>
    </w:p>
    <w:tbl>
      <w:tblPr>
        <w:tblStyle w:val="11"/>
        <w:tblpPr w:leftFromText="180" w:rightFromText="180" w:vertAnchor="text" w:horzAnchor="margin" w:tblpXSpec="center" w:tblpY="152"/>
        <w:tblW w:w="856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871"/>
        <w:gridCol w:w="1014"/>
        <w:gridCol w:w="120"/>
        <w:gridCol w:w="1134"/>
        <w:gridCol w:w="188"/>
        <w:gridCol w:w="384"/>
        <w:gridCol w:w="704"/>
        <w:gridCol w:w="539"/>
        <w:gridCol w:w="125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课程中文名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环境雕塑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课程英文名</w:t>
            </w:r>
          </w:p>
        </w:tc>
        <w:tc>
          <w:tcPr>
            <w:tcW w:w="4711" w:type="dxa"/>
            <w:gridSpan w:val="6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Environment sculpture</w:t>
            </w:r>
          </w:p>
        </w:tc>
        <w:tc>
          <w:tcPr>
            <w:tcW w:w="1243" w:type="dxa"/>
            <w:gridSpan w:val="2"/>
            <w:vAlign w:val="center"/>
          </w:tcPr>
          <w:p>
            <w:pPr>
              <w:snapToGrid w:val="0"/>
              <w:spacing w:beforeLines="0" w:afterLines="0" w:line="400" w:lineRule="exact"/>
              <w:jc w:val="center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</w:rPr>
              <w:t>双语授课</w:t>
            </w:r>
          </w:p>
        </w:tc>
        <w:tc>
          <w:tcPr>
            <w:tcW w:w="1257" w:type="dxa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cs="Times New Roman" w:eastAsiaTheme="minorEastAsia"/>
                <w:b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 xml:space="preserve">是 </w:t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default" w:ascii="Times New Roman" w:hAnsi="Times New Roman" w:cs="Times New Roman"/>
                <w:b/>
                <w:color w:val="auto"/>
                <w:kern w:val="2"/>
                <w:sz w:val="21"/>
                <w:szCs w:val="21"/>
                <w:highlight w:val="none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课程代码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131124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34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课程学分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2.5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auto"/>
                <w:sz w:val="21"/>
                <w:szCs w:val="21"/>
                <w:highlight w:val="none"/>
              </w:rPr>
              <w:t>总学时数</w:t>
            </w:r>
          </w:p>
        </w:tc>
        <w:tc>
          <w:tcPr>
            <w:tcW w:w="1796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课程类别</w:t>
            </w:r>
          </w:p>
        </w:tc>
        <w:tc>
          <w:tcPr>
            <w:tcW w:w="187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专业基础课程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专业核心课程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专业选修课程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1"/>
                <w:szCs w:val="21"/>
                <w:highlight w:val="none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课程性质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其他</w:t>
            </w:r>
          </w:p>
        </w:tc>
        <w:tc>
          <w:tcPr>
            <w:tcW w:w="1276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课程形态</w:t>
            </w:r>
          </w:p>
        </w:tc>
        <w:tc>
          <w:tcPr>
            <w:tcW w:w="1796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□线上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线下</w:t>
            </w:r>
          </w:p>
          <w:p>
            <w:pPr>
              <w:adjustRightInd w:val="0"/>
              <w:snapToGrid w:val="0"/>
              <w:spacing w:line="400" w:lineRule="exact"/>
              <w:ind w:left="211" w:hanging="210" w:hangingChars="100"/>
              <w:jc w:val="left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□线上线下混合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highlight w:val="none"/>
              </w:rPr>
              <w:t>□其他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考核方式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□闭卷  □开卷  □课程论文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eastAsia="zh-CN"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课程作品  □汇报展示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A3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"/>
              </w:rPr>
              <w:t>报告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   </w:t>
            </w:r>
          </w:p>
          <w:p>
            <w:pP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课堂表现  □阶段性测试 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t xml:space="preserve">平时作业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highlight w:val="none"/>
                <w:lang w:bidi="ar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bidi="ar"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开课学院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美术学院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eastAsia="zh-CN" w:bidi="ar"/>
              </w:rPr>
              <w:t>开课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kern w:val="2"/>
                <w:sz w:val="21"/>
                <w:szCs w:val="21"/>
                <w:highlight w:val="none"/>
                <w:lang w:bidi="ar"/>
              </w:rPr>
              <w:t>系(教研室)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雕塑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面向专业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  <w:p>
            <w:pPr>
              <w:jc w:val="center"/>
              <w:rPr>
                <w:rFonts w:hint="eastAsia" w:ascii="Times New Roman" w:hAnsi="Times New Roman" w:eastAsia="宋体" w:cs="Times New Roman"/>
                <w:b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Hans"/>
              </w:rPr>
              <w:t>雕塑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开课学期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第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课程负责人</w:t>
            </w:r>
          </w:p>
        </w:tc>
        <w:tc>
          <w:tcPr>
            <w:tcW w:w="2885" w:type="dxa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冉毅</w:t>
            </w:r>
          </w:p>
        </w:tc>
        <w:tc>
          <w:tcPr>
            <w:tcW w:w="1442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审核人</w:t>
            </w:r>
          </w:p>
        </w:tc>
        <w:tc>
          <w:tcPr>
            <w:tcW w:w="2884" w:type="dxa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先修课程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泥塑（着衣全身像）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后续课程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公共设施设计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选用教材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ind w:firstLine="630" w:firstLineChars="3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雕塑基础教程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隋建国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河北教育出版社，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参考书目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现代雕塑简史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.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赫伯特·里德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湖南美术出版社，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1988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希腊的雕塑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丹纳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上海书画出版社，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2011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国外后现代雕塑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皮力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江苏美术出版社，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2001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新具象雕塑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焦兴涛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 xml:space="preserve"> .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重庆出版社，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2010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35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sz w:val="21"/>
                <w:szCs w:val="21"/>
                <w:highlight w:val="none"/>
              </w:rPr>
              <w:t>课程资源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spacing w:before="0" w:beforeAutospacing="0" w:after="0" w:afterAutospacing="0" w:line="480" w:lineRule="auto"/>
              <w:ind w:right="0"/>
              <w:jc w:val="left"/>
              <w:rPr>
                <w:rFonts w:hint="eastAsia" w:ascii="Times New Roman" w:hAnsi="Times New Roman" w:eastAsia="宋体" w:cs="Times New Roman"/>
                <w:color w:val="FF0000"/>
                <w:sz w:val="21"/>
                <w:szCs w:val="21"/>
                <w:highlight w:val="none"/>
                <w:lang w:val="en-US" w:eastAsia="zh-Hans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3" w:hRule="atLeast"/>
        </w:trPr>
        <w:tc>
          <w:tcPr>
            <w:tcW w:w="1356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  <w:highlight w:val="none"/>
              </w:rPr>
              <w:t>课程简介</w:t>
            </w:r>
          </w:p>
        </w:tc>
        <w:tc>
          <w:tcPr>
            <w:tcW w:w="7211" w:type="dxa"/>
            <w:gridSpan w:val="9"/>
            <w:vAlign w:val="center"/>
          </w:tcPr>
          <w:p>
            <w:pPr>
              <w:pStyle w:val="3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left="0" w:leftChars="0" w:right="0" w:rightChars="0" w:firstLine="420" w:firstLineChars="200"/>
              <w:jc w:val="both"/>
              <w:textAlignment w:val="auto"/>
              <w:outlineLvl w:val="9"/>
              <w:rPr>
                <w:rFonts w:hint="default" w:ascii="Times New Roman" w:hAnsi="Times New Roman" w:cs="Times New Roman"/>
                <w:color w:val="FF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本课程是雕塑专业的专业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核心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课程，是对雕塑专业的学生进行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雕塑综合训练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Hans" w:bidi="ar-SA"/>
                <w14:textFill>
                  <w14:solidFill>
                    <w14:schemeClr w14:val="tx1"/>
                  </w14:solidFill>
                </w14:textFill>
              </w:rPr>
              <w:t>的重要环节。通过本课程的教学，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使学生在熟练掌握室内架上雕塑基本知识与技能的基础上，认识、了解雕塑与外部空间环境的关系以及基本的处理原则与方法，并通过模拟演练使学生熟悉雕塑工程的基本实施方法与流程。本课程不仅是对学生造型素养的提升，同时也是对学生在步入社会后，独立面对社会服务、运用所学满足社会需求的能力的培养。</w:t>
            </w:r>
          </w:p>
        </w:tc>
      </w:tr>
    </w:tbl>
    <w:p>
      <w:pPr>
        <w:spacing w:line="360" w:lineRule="auto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</w:rPr>
      </w:pPr>
    </w:p>
    <w:p>
      <w:pPr>
        <w:autoSpaceDE w:val="0"/>
        <w:autoSpaceDN w:val="0"/>
        <w:adjustRightInd w:val="0"/>
        <w:snapToGrid w:val="0"/>
        <w:spacing w:beforeLines="0" w:afterLines="0" w:line="360" w:lineRule="auto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二、课程目标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表1  课程目标</w:t>
      </w:r>
    </w:p>
    <w:tbl>
      <w:tblPr>
        <w:tblStyle w:val="12"/>
        <w:tblW w:w="4997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77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4190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爱国主义精神和社会责任感；能够树立正确的世界观、人生观、价值观；具备良好的道德品质和行为习惯；立志成为合格的社会主义艺术从业者。能以艺术作品独特的感染力来传播爱国主义精神，还能以欣赏和介绍美术历史作品的艺术价值来增强民族自豪感。深刻理解并自觉实践各行业的职业精神和职业规范，增强职业责任感，培养遵纪守法、爱岗敬业、无私奉献、诚实守信、公道办事、开拓创新的职业品格和行为习惯。能够运用精湛的设计技艺进行实践操作和创新研究，并能再以后得工作中体现职业价值取向和行为表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4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sz w:val="22"/>
                <w:szCs w:val="24"/>
              </w:rPr>
              <w:t>了解立体造型的基本理论，并通过课堂泥塑训练掌握不同形态的结构、透视、比例和不同材料的特征；熟悉基本的形体造型技巧，熟练掌握雕塑造型的基本规律和基本法则；熟练运用泥及其它不同材料在三维空间中面进行浮雕、圆雕写生与创作；具有先进的立体造型理念和较强的创新精神；能够运用课堂所学知识较好的进行毕业创作和相关雕塑艺术创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4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sz w:val="22"/>
                <w:szCs w:val="24"/>
              </w:rPr>
              <w:t>具备现代雕塑创新设计意识，具备较高的项目策划、造型设计、创作与研究的能力；具有较高的科学文化素质和艺术素养，具有较高审美水平、良好的沟通能力以及团队合作精神，以应对时代及社会发展需要。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pct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4190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40" w:firstLineChars="20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" w:hAnsi="Times" w:cs="Times"/>
                <w:sz w:val="22"/>
                <w:szCs w:val="24"/>
              </w:rPr>
              <w:t>具有一定的人文社会科学以及自然科学的基本理论知识，具有独立获取知识、提出问题、分析问题和解决问题的能力，有一定的科研能力，有较好的职业生涯规划能力。</w:t>
            </w:r>
          </w:p>
        </w:tc>
      </w:tr>
    </w:tbl>
    <w:p>
      <w:pPr>
        <w:spacing w:line="360" w:lineRule="auto"/>
        <w:jc w:val="both"/>
        <w:rPr>
          <w:rFonts w:hint="eastAsia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22"/>
        <w:spacing w:line="320" w:lineRule="exact"/>
        <w:ind w:left="420" w:firstLine="0"/>
        <w:jc w:val="center"/>
        <w:rPr>
          <w:rFonts w:hint="default" w:ascii="Times New Roman" w:hAnsi="Times New Roman" w:cs="Times New Roman"/>
          <w:b/>
          <w:sz w:val="21"/>
          <w:szCs w:val="21"/>
          <w:highlight w:val="none"/>
        </w:rPr>
      </w:pPr>
    </w:p>
    <w:p>
      <w:pPr>
        <w:pStyle w:val="22"/>
        <w:spacing w:line="320" w:lineRule="exact"/>
        <w:ind w:left="420" w:firstLine="0"/>
        <w:jc w:val="center"/>
        <w:rPr>
          <w:rFonts w:hint="default" w:ascii="Times New Roman" w:hAnsi="Times New Roman" w:eastAsia="宋体" w:cs="Times New Roman"/>
          <w:b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cs="Times New Roman"/>
          <w:b/>
          <w:sz w:val="21"/>
          <w:szCs w:val="21"/>
          <w:highlight w:val="none"/>
        </w:rPr>
        <w:t>表2 课程目标与毕业要求对应关系</w:t>
      </w:r>
    </w:p>
    <w:tbl>
      <w:tblPr>
        <w:tblStyle w:val="11"/>
        <w:tblW w:w="499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4"/>
        <w:gridCol w:w="3845"/>
        <w:gridCol w:w="1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指标点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毕业要求1：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学科知识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H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default"/>
                <w:sz w:val="21"/>
                <w:szCs w:val="21"/>
              </w:rPr>
              <w:t xml:space="preserve">1.1 </w:t>
            </w:r>
            <w:r>
              <w:rPr>
                <w:rFonts w:hint="eastAsia"/>
                <w:sz w:val="21"/>
                <w:szCs w:val="21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default"/>
                <w:sz w:val="21"/>
                <w:szCs w:val="21"/>
              </w:rPr>
              <w:t xml:space="preserve">1.2 </w:t>
            </w:r>
            <w:r>
              <w:rPr>
                <w:rFonts w:hint="eastAsia"/>
                <w:sz w:val="21"/>
                <w:szCs w:val="21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1.3</w:t>
            </w:r>
            <w:r>
              <w:rPr>
                <w:rFonts w:hint="eastAsia"/>
                <w:sz w:val="21"/>
                <w:szCs w:val="21"/>
              </w:rPr>
              <w:t>具有先进的立体造型理念和较强的创新精神，能够运用课堂所学知识较好的进行毕业创作和相关雕塑艺术创作。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1.4</w:t>
            </w:r>
            <w:r>
              <w:rPr>
                <w:rFonts w:hint="eastAsia"/>
                <w:sz w:val="21"/>
                <w:szCs w:val="21"/>
              </w:rPr>
              <w:t>具有一定的人文社会科学以及自然科学的基本理论知识。</w:t>
            </w:r>
          </w:p>
        </w:tc>
        <w:tc>
          <w:tcPr>
            <w:tcW w:w="712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1.5</w:t>
            </w:r>
            <w:r>
              <w:rPr>
                <w:rFonts w:hint="eastAsia"/>
                <w:sz w:val="21"/>
                <w:szCs w:val="21"/>
              </w:rPr>
              <w:t>具有独立获取知识、提出问题、分析问题和解决问题的能力。</w:t>
            </w:r>
          </w:p>
        </w:tc>
        <w:tc>
          <w:tcPr>
            <w:tcW w:w="712" w:type="pct"/>
            <w:vMerge w:val="restart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1.6</w:t>
            </w:r>
            <w:r>
              <w:rPr>
                <w:rFonts w:hint="eastAsia"/>
                <w:sz w:val="21"/>
                <w:szCs w:val="21"/>
              </w:rPr>
              <w:t xml:space="preserve"> 有一定的科研能力，有较好的职业生涯规划能力。</w:t>
            </w:r>
          </w:p>
        </w:tc>
        <w:tc>
          <w:tcPr>
            <w:tcW w:w="71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毕业要求2：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基本素质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2.1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具有爱国主义精神和社会责任感；能够树立正确的世界观、人生观、价值观；具备良好的道德品质和行为习惯；立志成为合格的社会主义艺术工作者。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  <w:t xml:space="preserve">2.2 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能以艺术作品独特的感染力来传播爱国主义精神，还能以欣赏和介绍美术历史作品的艺术价值来增强民族自豪感。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2.3能够运用精湛的设计技艺进行实践操作和创新研究，并能再以后得工作中体现职业价值取向和行为表现。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sz w:val="21"/>
                <w:szCs w:val="21"/>
                <w:highlight w:val="none"/>
              </w:rPr>
              <w:t>毕业要求3：</w:t>
            </w:r>
            <w:r>
              <w:rPr>
                <w:rFonts w:hint="eastAsia" w:ascii="Times New Roman" w:hAnsi="Times New Roman" w:cs="Times New Roman"/>
                <w:b/>
                <w:color w:val="000000"/>
                <w:sz w:val="21"/>
                <w:szCs w:val="21"/>
                <w:highlight w:val="none"/>
                <w:lang w:val="en-US" w:eastAsia="zh-CN"/>
              </w:rPr>
              <w:t>学科知识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【</w:t>
            </w: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eastAsia="zh-CN"/>
              </w:rPr>
              <w:t>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3.1</w:t>
            </w:r>
            <w:r>
              <w:rPr>
                <w:rFonts w:hint="eastAsia"/>
                <w:sz w:val="21"/>
                <w:szCs w:val="24"/>
              </w:rPr>
              <w:t>了解立体造型的基本理论，并通过课堂泥塑训练掌握不同形态的结构、透视、比例和不同材料的特征。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3.2</w:t>
            </w:r>
            <w:r>
              <w:rPr>
                <w:rFonts w:hint="eastAsia"/>
                <w:sz w:val="21"/>
                <w:szCs w:val="24"/>
              </w:rPr>
              <w:t>熟悉基本的形体造型技巧，熟练掌握雕塑造型的基本规律和基本法则；熟练运用泥及其它不同材料在三维空间中面进行浮雕、圆雕写生与创作。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548DD4"/>
                <w:sz w:val="21"/>
                <w:szCs w:val="21"/>
                <w:highlight w:val="none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textAlignment w:val="auto"/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3.3</w:t>
            </w:r>
            <w:r>
              <w:rPr>
                <w:rFonts w:hint="eastAsia"/>
                <w:sz w:val="21"/>
                <w:szCs w:val="21"/>
              </w:rPr>
              <w:t>具备基本的阅读能力、文字表达能力和对事物的认知能力；具有良好的职业道德和健康的身心素质，具备一定的科学思维方法。</w:t>
            </w:r>
          </w:p>
        </w:tc>
        <w:tc>
          <w:tcPr>
            <w:tcW w:w="7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课程目标2</w:t>
            </w:r>
          </w:p>
        </w:tc>
      </w:tr>
    </w:tbl>
    <w:p>
      <w:pPr>
        <w:autoSpaceDE w:val="0"/>
        <w:autoSpaceDN w:val="0"/>
        <w:adjustRightInd w:val="0"/>
        <w:spacing w:beforeLines="0" w:afterLines="0" w:line="400" w:lineRule="exact"/>
        <w:jc w:val="left"/>
        <w:rPr>
          <w:rFonts w:hint="default" w:ascii="Times New Roman" w:hAnsi="Times New Roman" w:eastAsia="宋体" w:cs="Times New Roman"/>
          <w:b/>
          <w:bCs/>
          <w:color w:val="FF0000"/>
          <w:kern w:val="0"/>
          <w:sz w:val="22"/>
          <w:szCs w:val="22"/>
          <w:highlight w:val="none"/>
        </w:rPr>
      </w:pPr>
    </w:p>
    <w:p>
      <w:pPr>
        <w:rPr>
          <w:rFonts w:hint="default" w:ascii="Times New Roman" w:hAnsi="Times New Roman" w:cs="Times New Roman"/>
          <w:highlight w:val="none"/>
        </w:rPr>
        <w:sectPr>
          <w:footerReference r:id="rId3" w:type="default"/>
          <w:pgSz w:w="11906" w:h="16838"/>
          <w:pgMar w:top="1417" w:right="1417" w:bottom="1417" w:left="1417" w:header="851" w:footer="992" w:gutter="0"/>
          <w:cols w:space="425" w:num="1"/>
          <w:docGrid w:type="lines" w:linePitch="312" w:charSpace="0"/>
        </w:sect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</w:p>
    <w:p>
      <w:pPr>
        <w:pStyle w:val="4"/>
        <w:kinsoku w:val="0"/>
        <w:overflowPunct w:val="0"/>
        <w:spacing w:before="61" w:beforeLines="0" w:afterLines="0"/>
        <w:jc w:val="left"/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三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课程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</w:rPr>
        <w:t>教学内容</w:t>
      </w:r>
      <w:r>
        <w:rPr>
          <w:rFonts w:hint="default" w:ascii="Times New Roman" w:hAnsi="Times New Roman" w:eastAsia="黑体" w:cs="Times New Roman"/>
          <w:b/>
          <w:kern w:val="0"/>
          <w:sz w:val="28"/>
          <w:szCs w:val="28"/>
          <w:highlight w:val="none"/>
          <w:lang w:eastAsia="zh-CN"/>
        </w:rPr>
        <w:t>与方法</w:t>
      </w:r>
    </w:p>
    <w:p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表3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课程目标、</w:t>
      </w: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教学内容和方法对应关系</w:t>
      </w:r>
    </w:p>
    <w:tbl>
      <w:tblPr>
        <w:tblStyle w:val="1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"/>
        <w:gridCol w:w="2094"/>
        <w:gridCol w:w="1558"/>
        <w:gridCol w:w="5325"/>
        <w:gridCol w:w="690"/>
        <w:gridCol w:w="848"/>
        <w:gridCol w:w="690"/>
        <w:gridCol w:w="848"/>
        <w:gridCol w:w="848"/>
        <w:gridCol w:w="76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0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项目来源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教学目标（观测点、重难点）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学时数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69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要求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每组人数</w:t>
            </w:r>
          </w:p>
        </w:tc>
        <w:tc>
          <w:tcPr>
            <w:tcW w:w="8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教学方法</w:t>
            </w:r>
          </w:p>
        </w:tc>
        <w:tc>
          <w:tcPr>
            <w:tcW w:w="76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实验1：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环境雕塑的基本概念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实验教材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观测点：认识、了解雕塑与外部空间环境的关系以及基本的处理原则与方法。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课堂讲授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掌握环境雕塑的基本特征。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实验2：</w:t>
            </w:r>
            <w:r>
              <w:rPr>
                <w:rFonts w:hint="eastAsia" w:hAnsi="宋体"/>
                <w:sz w:val="22"/>
                <w:szCs w:val="24"/>
              </w:rPr>
              <w:t>环境雕塑的类型、功能与意义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实验教材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了解环境雕塑的作用，理解空间环境与雕塑的相互影响。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演示性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案例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05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熟悉雕塑工程的基本实施方法与流程。</w:t>
            </w:r>
          </w:p>
        </w:tc>
        <w:tc>
          <w:tcPr>
            <w:tcW w:w="6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实验3：</w:t>
            </w:r>
            <w:r>
              <w:rPr>
                <w:rFonts w:hint="eastAsia" w:hAnsi="宋体"/>
                <w:sz w:val="22"/>
                <w:szCs w:val="24"/>
              </w:rPr>
              <w:t>环境雕塑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课前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准备工作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观测点:了解</w:t>
            </w:r>
            <w:r>
              <w:rPr>
                <w:rFonts w:hint="eastAsia" w:hAnsi="宋体"/>
                <w:sz w:val="22"/>
                <w:szCs w:val="24"/>
              </w:rPr>
              <w:t>环境雕塑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制作步骤。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重难点：了解制作环境雕塑的工具、材料及特性。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实验4环境雕塑审美准则与制作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了解环境雕塑的美学语汇和物质条件。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重难点：运用材料进行创作和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学习借鉴优秀作品的处理方式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5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09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实验5环境雕塑的设置与环境规划的方法与制作</w:t>
            </w:r>
          </w:p>
        </w:tc>
        <w:tc>
          <w:tcPr>
            <w:tcW w:w="155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工程实践</w:t>
            </w: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观测点：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掌握环境雕塑设置和环境顾规划的要点。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综合性</w:t>
            </w:r>
          </w:p>
        </w:tc>
        <w:tc>
          <w:tcPr>
            <w:tcW w:w="690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必做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84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实验指导</w:t>
            </w:r>
          </w:p>
        </w:tc>
        <w:tc>
          <w:tcPr>
            <w:tcW w:w="76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9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5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重难点：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根据所学知识，在校园中选择地点进行实践创作。</w:t>
            </w: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0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0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adjustRightInd w:val="0"/>
        <w:snapToGrid w:val="0"/>
        <w:spacing w:line="360" w:lineRule="auto"/>
        <w:jc w:val="center"/>
        <w:rPr>
          <w:rFonts w:hint="default" w:ascii="Times New Roman" w:hAnsi="Times New Roman" w:eastAsia="宋体" w:cs="Times New Roman"/>
          <w:color w:val="FF0000"/>
          <w:szCs w:val="21"/>
          <w:highlight w:val="none"/>
        </w:rPr>
      </w:pPr>
      <w:r>
        <w:rPr>
          <w:rFonts w:hint="default" w:ascii="Times New Roman" w:hAnsi="Times New Roman" w:eastAsia="宋体" w:cs="Times New Roman"/>
          <w:color w:val="000000" w:themeColor="text1"/>
          <w:kern w:val="0"/>
          <w:sz w:val="20"/>
          <w:szCs w:val="21"/>
          <w:highlight w:val="none"/>
          <w14:textFill>
            <w14:solidFill>
              <w14:schemeClr w14:val="tx1"/>
            </w14:solidFill>
          </w14:textFill>
        </w:rPr>
        <w:t>填表说明</w:t>
      </w:r>
    </w:p>
    <w:p>
      <w:pPr>
        <w:widowControl/>
        <w:spacing w:line="360" w:lineRule="auto"/>
        <w:jc w:val="lef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w:br w:type="page"/>
      </w:r>
    </w:p>
    <w:p>
      <w:pPr>
        <w:rPr>
          <w:rFonts w:hint="default" w:ascii="Times New Roman" w:hAnsi="Times New Roman" w:cs="Times New Roman"/>
          <w:highlight w:val="none"/>
        </w:rPr>
        <w:sectPr>
          <w:pgSz w:w="16838" w:h="11906" w:orient="landscape"/>
          <w:pgMar w:top="1417" w:right="1417" w:bottom="1417" w:left="1417" w:header="851" w:footer="992" w:gutter="0"/>
          <w:cols w:space="425" w:num="1"/>
          <w:docGrid w:linePitch="312" w:charSpace="0"/>
        </w:sectPr>
      </w:pPr>
    </w:p>
    <w:p>
      <w:pPr>
        <w:pStyle w:val="2"/>
        <w:numPr>
          <w:ilvl w:val="0"/>
          <w:numId w:val="1"/>
        </w:numPr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kern w:val="0"/>
          <w:sz w:val="28"/>
          <w:szCs w:val="28"/>
          <w:highlight w:val="none"/>
          <w:lang w:val="en-US" w:eastAsia="zh-CN"/>
        </w:rPr>
        <w:t>课程考核</w:t>
      </w:r>
    </w:p>
    <w:p>
      <w:pPr>
        <w:pStyle w:val="4"/>
        <w:kinsoku w:val="0"/>
        <w:overflowPunct w:val="0"/>
        <w:spacing w:before="86" w:beforeLines="0" w:afterLines="0" w:line="400" w:lineRule="exact"/>
        <w:ind w:firstLine="482" w:firstLineChars="200"/>
        <w:rPr>
          <w:rFonts w:hint="default" w:ascii="明黑等宽" w:eastAsia="明黑等宽"/>
          <w:b/>
          <w:color w:val="000000"/>
          <w:sz w:val="24"/>
          <w:szCs w:val="24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（一）考核内容与考核方式</w:t>
      </w:r>
    </w:p>
    <w:tbl>
      <w:tblPr>
        <w:tblStyle w:val="11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03"/>
        <w:gridCol w:w="3893"/>
        <w:gridCol w:w="1134"/>
        <w:gridCol w:w="992"/>
        <w:gridCol w:w="146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课程目标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所属环节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占比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明黑等宽" w:eastAsia="明黑等宽" w:cs="明黑等宽"/>
                <w:b/>
                <w:kern w:val="0"/>
                <w:sz w:val="22"/>
                <w:szCs w:val="22"/>
              </w:rPr>
            </w:pPr>
            <w:r>
              <w:rPr>
                <w:rFonts w:hint="eastAsia" w:ascii="明黑等宽" w:eastAsia="明黑等宽" w:cs="明黑等宽"/>
                <w:b/>
                <w:kern w:val="0"/>
                <w:sz w:val="22"/>
                <w:szCs w:val="22"/>
              </w:rPr>
              <w:t>考核方式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  <w:jc w:val="center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1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2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课程目标 3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1.认知目标：掌握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环境雕塑</w:t>
            </w:r>
            <w:r>
              <w:rPr>
                <w:rFonts w:hint="eastAsia"/>
                <w:kern w:val="0"/>
                <w:sz w:val="21"/>
                <w:szCs w:val="21"/>
              </w:rPr>
              <w:t>的发展历程，重要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环境雕塑家</w:t>
            </w:r>
            <w:r>
              <w:rPr>
                <w:rFonts w:hint="eastAsia"/>
                <w:kern w:val="0"/>
                <w:sz w:val="21"/>
                <w:szCs w:val="21"/>
              </w:rPr>
              <w:t>的</w:t>
            </w: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雕塑</w:t>
            </w:r>
            <w:r>
              <w:rPr>
                <w:rFonts w:hint="eastAsia"/>
                <w:kern w:val="0"/>
                <w:sz w:val="21"/>
                <w:szCs w:val="21"/>
              </w:rPr>
              <w:t>作品的视觉审美特征、语言特征、精神特征。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理论学习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/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30%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kern w:val="0"/>
                <w:sz w:val="21"/>
                <w:szCs w:val="21"/>
                <w:lang w:val="en-US" w:eastAsia="zh-CN"/>
              </w:rPr>
              <w:t>实践操作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2.实践目标：掌握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环境雕塑制作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的基本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流程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3.方法目标：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雕塑与外部环境关系的把握与处理方法。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atLeast"/>
          <w:jc w:val="center"/>
        </w:trPr>
        <w:tc>
          <w:tcPr>
            <w:tcW w:w="13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 2</w:t>
            </w:r>
          </w:p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课程目标 4</w:t>
            </w: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 xml:space="preserve">1.创新目标： 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环境雕塑</w:t>
            </w: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的创造性呈现。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实践环节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70%</w:t>
            </w:r>
          </w:p>
        </w:tc>
        <w:tc>
          <w:tcPr>
            <w:tcW w:w="14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/>
              <w:spacing w:beforeLines="0" w:afterLines="0" w:line="300" w:lineRule="exact"/>
              <w:ind w:left="0" w:right="0"/>
              <w:jc w:val="center"/>
              <w:textAlignment w:val="auto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实践操作、成果展示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2.审美目标：在雕塑塑造中体现较高的审美水平和与外部环境的和谐共生。包括美学语汇和物质条件，雕塑与外部环境的呼应。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eastAsia" w:ascii="Times New Roman"/>
                <w:color w:val="000000"/>
                <w:sz w:val="20"/>
                <w:szCs w:val="24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color w:val="000000"/>
                <w:sz w:val="21"/>
                <w:szCs w:val="24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jc w:val="center"/>
        </w:trPr>
        <w:tc>
          <w:tcPr>
            <w:tcW w:w="130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  <w:tc>
          <w:tcPr>
            <w:tcW w:w="38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topLinePunct/>
              <w:spacing w:before="4" w:beforeLines="0" w:after="48" w:afterLines="20"/>
              <w:ind w:left="113" w:right="42" w:rightChars="20"/>
              <w:jc w:val="both"/>
              <w:rPr>
                <w:rFonts w:hint="default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宋体"/>
                <w:kern w:val="0"/>
                <w:sz w:val="21"/>
                <w:szCs w:val="21"/>
                <w:lang w:val="en-US" w:eastAsia="zh-CN" w:bidi="ar-SA"/>
              </w:rPr>
              <w:t>3.情感目标：对真、善、美的表达和</w:t>
            </w:r>
            <w:r>
              <w:rPr>
                <w:rFonts w:hint="eastAsia" w:cs="宋体"/>
                <w:kern w:val="0"/>
                <w:sz w:val="21"/>
                <w:szCs w:val="21"/>
                <w:lang w:val="en-US" w:eastAsia="zh-CN" w:bidi="ar-SA"/>
              </w:rPr>
              <w:t>对环境的美化。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Lines="0" w:afterLines="0"/>
              <w:jc w:val="center"/>
              <w:rPr>
                <w:rFonts w:hint="default" w:ascii="Times New Roman" w:eastAsia="Times New Roman"/>
                <w:color w:val="000000"/>
                <w:sz w:val="20"/>
                <w:szCs w:val="24"/>
              </w:rPr>
            </w:pPr>
            <w:r>
              <w:rPr>
                <w:rFonts w:hint="eastAsia" w:ascii="Times New Roman"/>
                <w:color w:val="000000"/>
                <w:sz w:val="20"/>
                <w:szCs w:val="24"/>
              </w:rPr>
              <w:t>实践环节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25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default"/>
                <w:color w:val="000000"/>
                <w:sz w:val="21"/>
                <w:szCs w:val="24"/>
              </w:rPr>
            </w:pPr>
          </w:p>
        </w:tc>
        <w:tc>
          <w:tcPr>
            <w:tcW w:w="146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insoku w:val="0"/>
              <w:overflowPunct w:val="0"/>
              <w:spacing w:beforeLines="0" w:afterLines="0" w:line="357" w:lineRule="auto"/>
              <w:ind w:left="120" w:right="736" w:firstLine="482"/>
              <w:jc w:val="center"/>
              <w:rPr>
                <w:rFonts w:hint="default" w:ascii="方正小标宋_GBK" w:eastAsia="方正小标宋_GBK"/>
                <w:color w:val="000000"/>
                <w:spacing w:val="-3"/>
                <w:sz w:val="2"/>
                <w:szCs w:val="24"/>
              </w:rPr>
            </w:pPr>
          </w:p>
        </w:tc>
      </w:tr>
    </w:tbl>
    <w:p>
      <w:pPr>
        <w:snapToGrid w:val="0"/>
        <w:spacing w:beforeLines="0" w:afterLines="0" w:line="400" w:lineRule="exact"/>
        <w:jc w:val="both"/>
        <w:rPr>
          <w:rFonts w:hint="default" w:ascii="Hiragino Sans GB W6" w:hAnsi="Times New Roman" w:cs="Hiragino Sans GB W6" w:eastAsiaTheme="minorEastAsia"/>
          <w:b/>
          <w:sz w:val="24"/>
          <w:szCs w:val="24"/>
          <w:lang w:val="en-US" w:eastAsia="zh-CN" w:bidi="ar-SA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评分依据：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1.作品完整，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难易程度适中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。2.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环境雕塑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把控恰当，有较好的形式审美特点。3.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选择外部环境时是否考虑了境雕塑设置境雕塑设置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4.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突出了环境雕塑与架上雕塑的区别，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有一定的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环境雕塑特征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，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较为</w:t>
      </w:r>
      <w:r>
        <w:rPr>
          <w:rFonts w:hint="eastAsia" w:hAnsi="宋体"/>
          <w:color w:val="000000"/>
          <w:sz w:val="22"/>
          <w:szCs w:val="24"/>
          <w:lang w:val="zh-TW" w:eastAsia="zh-TW"/>
        </w:rPr>
        <w:t>生动，</w:t>
      </w:r>
      <w:r>
        <w:rPr>
          <w:rFonts w:hint="eastAsia" w:hAnsi="宋体"/>
          <w:color w:val="000000"/>
          <w:sz w:val="22"/>
          <w:szCs w:val="24"/>
          <w:lang w:val="en-US" w:eastAsia="zh-CN"/>
        </w:rPr>
        <w:t>创作中在材料和形式上有一定创新，与外部环境和谐共存并有美化作用。</w:t>
      </w:r>
    </w:p>
    <w:p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before="8" w:beforeLines="0" w:afterLines="0"/>
        <w:ind w:firstLine="241" w:firstLineChars="100"/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/>
          <w:sz w:val="24"/>
          <w:szCs w:val="24"/>
          <w:lang w:val="en-US" w:eastAsia="zh-CN" w:bidi="ar-SA"/>
        </w:rPr>
        <w:t>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本课程考试为专业课程考试，采取将平时成绩和期末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作业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综合考核的方式，实行随堂考试，成绩记载采用百分制。在成绩评价方式上，注重考核学生学习过程和能力，突出阶段评价，目标评价，理论与实践一体化评价，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CN"/>
          <w14:textFill>
            <w14:solidFill>
              <w14:schemeClr w14:val="tx1"/>
            </w14:solidFill>
          </w14:textFill>
        </w:rPr>
        <w:t>考核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动手能力和分析问题、解决问题能力，学生个体差异，创新实践能力。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课程结束后，由各任课教师按照美术学院统一制定的专业课程考试成绩评分表，将学生期末考试成绩如实填到评分表上，连同期末考试作品一起拍照，并交到美术学院实验教学中心存档。</w:t>
      </w:r>
    </w:p>
    <w:p>
      <w:pPr>
        <w:snapToGrid w:val="0"/>
        <w:spacing w:beforeLines="0" w:afterLines="0" w:line="400" w:lineRule="exact"/>
        <w:rPr>
          <w:rFonts w:hint="default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1）总成绩评定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eastAsia="Times New Roman"/>
          <w:color w:val="000000"/>
          <w:sz w:val="22"/>
          <w:szCs w:val="24"/>
        </w:rPr>
      </w:pPr>
      <w:r>
        <w:rPr>
          <w:rFonts w:hint="eastAsia" w:ascii="Times" w:hAnsi="Times" w:cs="Times"/>
          <w:color w:val="000000"/>
          <w:sz w:val="22"/>
          <w:szCs w:val="24"/>
        </w:rPr>
        <w:t>总成绩（</w:t>
      </w:r>
      <w:r>
        <w:rPr>
          <w:rFonts w:hint="default" w:ascii="Times" w:hAnsi="Times" w:cs="Times"/>
          <w:color w:val="000000"/>
          <w:sz w:val="22"/>
          <w:szCs w:val="24"/>
        </w:rPr>
        <w:t>100%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4"/>
        </w:rPr>
        <w:t>平时成绩（</w:t>
      </w:r>
      <w:r>
        <w:rPr>
          <w:rFonts w:hint="default" w:ascii="Times" w:hAnsi="Times" w:cs="Times"/>
          <w:color w:val="000000"/>
          <w:sz w:val="22"/>
          <w:szCs w:val="24"/>
        </w:rPr>
        <w:t>30%</w:t>
      </w:r>
      <w:r>
        <w:rPr>
          <w:rFonts w:hint="eastAsia" w:ascii="Times" w:hAnsi="Times" w:cs="Times"/>
          <w:color w:val="000000"/>
          <w:sz w:val="22"/>
          <w:szCs w:val="24"/>
        </w:rPr>
        <w:t>）</w:t>
      </w:r>
      <w:r>
        <w:rPr>
          <w:rFonts w:hint="default" w:ascii="Times" w:hAnsi="Times" w:cs="Times"/>
          <w:color w:val="000000"/>
          <w:sz w:val="22"/>
          <w:szCs w:val="24"/>
        </w:rPr>
        <w:t>+</w:t>
      </w:r>
      <w:r>
        <w:rPr>
          <w:rFonts w:hint="eastAsia" w:ascii="Times" w:hAnsi="Times" w:cs="Times"/>
          <w:color w:val="000000"/>
          <w:sz w:val="22"/>
          <w:szCs w:val="24"/>
        </w:rPr>
        <w:t>期末成绩（</w:t>
      </w:r>
      <w:r>
        <w:rPr>
          <w:rFonts w:hint="default" w:ascii="Times" w:hAnsi="Times" w:cs="Times"/>
          <w:color w:val="000000"/>
          <w:sz w:val="22"/>
          <w:szCs w:val="24"/>
        </w:rPr>
        <w:t>70%</w:t>
      </w:r>
      <w:r>
        <w:rPr>
          <w:rFonts w:hint="eastAsia" w:ascii="Times" w:hAnsi="Times" w:cs="Times"/>
          <w:color w:val="000000"/>
          <w:sz w:val="22"/>
          <w:szCs w:val="24"/>
        </w:rPr>
        <w:t>），（其中，过程性成绩和期末成绩的比例由老师自己决定，但是各单项成绩必须超过</w:t>
      </w:r>
      <w:r>
        <w:rPr>
          <w:rFonts w:hint="default" w:ascii="Times" w:hAnsi="Times" w:cs="Times"/>
          <w:color w:val="000000"/>
          <w:sz w:val="22"/>
          <w:szCs w:val="24"/>
        </w:rPr>
        <w:t xml:space="preserve"> 60%</w:t>
      </w:r>
      <w:r>
        <w:rPr>
          <w:rFonts w:hint="eastAsia" w:ascii="Times" w:hAnsi="Times" w:cs="Times"/>
          <w:color w:val="000000"/>
          <w:sz w:val="22"/>
          <w:szCs w:val="24"/>
        </w:rPr>
        <w:t>，且课程总成绩达标后才能算及格）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snapToGrid w:val="0"/>
        <w:spacing w:beforeLines="0" w:afterLines="0" w:line="400" w:lineRule="exact"/>
        <w:rPr>
          <w:rFonts w:hint="default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（2）平时成绩评定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时成绩评定包括学生在整个课程过程中的表现、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时作业完成情况。学习过程的实践操作情况、理论知识的认知情况，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时作业的完整度、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难易度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，和体现出来的学习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态度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，出勤情况。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平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时成绩占总成绩的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30%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①课堂表现（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2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：学生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的考勤情况，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在课堂上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和任课教师交流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的情况、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主动发现问题和积极解决问题的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情况。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②实践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教学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CN" w:bidi="ar-SA"/>
        </w:rPr>
        <w:t>；（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3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：通过课堂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多媒体教学和教学过程中的问题有针对性的解决，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训练学生的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掌握技能和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实践能力，使学生真正在实际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操作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感受环境雕塑特征和创作要点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，形成自己的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方法。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 xml:space="preserve"> 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2" w:firstLineChars="200"/>
        <w:jc w:val="left"/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</w:pP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③作业完成情况（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en-US" w:eastAsia="zh-CN" w:bidi="ar-SA"/>
        </w:rPr>
        <w:t>5</w:t>
      </w:r>
      <w:r>
        <w:rPr>
          <w:rFonts w:hint="eastAsia" w:ascii="明黑等宽" w:hAnsi="Times New Roman" w:eastAsia="明黑等宽" w:cs="宋体"/>
          <w:b/>
          <w:color w:val="000000"/>
          <w:kern w:val="0"/>
          <w:sz w:val="24"/>
          <w:szCs w:val="24"/>
          <w:lang w:val="zh-TW" w:eastAsia="zh-TW" w:bidi="ar-SA"/>
        </w:rPr>
        <w:t>0分）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：围绕课程的学习目标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进行课程学习的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实践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，主要考核学生作业完成质量、理解本课程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Times" w:hAnsi="Times" w:eastAsia="宋体" w:cs="Times"/>
          <w:color w:val="000000" w:themeColor="text1"/>
          <w:kern w:val="0"/>
          <w:sz w:val="24"/>
          <w:szCs w:val="24"/>
          <w:lang w:val="zh-TW" w:eastAsia="zh-TW"/>
          <w14:textFill>
            <w14:solidFill>
              <w14:schemeClr w14:val="tx1"/>
            </w14:solidFill>
          </w14:textFill>
        </w:rPr>
        <w:t>的程度，考核学生对于</w:t>
      </w:r>
      <w:r>
        <w:rPr>
          <w:rFonts w:hint="eastAsia" w:hAnsi="宋体"/>
          <w:sz w:val="22"/>
          <w:szCs w:val="24"/>
        </w:rPr>
        <w:t>环境雕塑的基本特征</w:t>
      </w:r>
      <w:r>
        <w:rPr>
          <w:rFonts w:hint="eastAsia" w:hAnsi="宋体"/>
          <w:sz w:val="22"/>
          <w:szCs w:val="24"/>
          <w:lang w:val="en-US" w:eastAsia="zh-CN"/>
        </w:rPr>
        <w:t>和</w:t>
      </w:r>
      <w:r>
        <w:rPr>
          <w:rFonts w:hint="eastAsia" w:hAnsi="宋体"/>
          <w:sz w:val="22"/>
          <w:szCs w:val="24"/>
        </w:rPr>
        <w:t>环境雕塑的作用</w:t>
      </w:r>
      <w:r>
        <w:rPr>
          <w:rFonts w:hint="eastAsia" w:hAnsi="宋体"/>
          <w:sz w:val="22"/>
          <w:szCs w:val="24"/>
          <w:lang w:val="en-US" w:eastAsia="zh-CN"/>
        </w:rPr>
        <w:t>的了解</w:t>
      </w:r>
      <w:r>
        <w:rPr>
          <w:rFonts w:hint="eastAsia" w:hAnsi="宋体"/>
          <w:sz w:val="22"/>
          <w:szCs w:val="24"/>
        </w:rPr>
        <w:t>，理解空间环境与雕塑的相互影响。</w:t>
      </w:r>
    </w:p>
    <w:p>
      <w:pPr>
        <w:snapToGrid w:val="0"/>
        <w:spacing w:before="120" w:beforeLines="50" w:afterLines="0" w:line="400" w:lineRule="exact"/>
        <w:rPr>
          <w:rFonts w:hint="default" w:ascii="????????" w:eastAsia="Times New Roman" w:cs="????????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（三）评分标准</w:t>
      </w:r>
    </w:p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 w:cs="????????"/>
          <w:b/>
          <w:sz w:val="24"/>
          <w:szCs w:val="24"/>
        </w:rPr>
      </w:pPr>
      <w:r>
        <w:rPr>
          <w:rFonts w:hint="default" w:ascii="????????" w:eastAsia="Times New Roman" w:cs="????????"/>
          <w:b/>
          <w:sz w:val="24"/>
          <w:szCs w:val="24"/>
        </w:rPr>
        <w:t>1.</w:t>
      </w:r>
      <w:r>
        <w:rPr>
          <w:rFonts w:hint="eastAsia" w:hAnsi="宋体" w:cs="宋体"/>
          <w:b/>
          <w:sz w:val="24"/>
          <w:szCs w:val="24"/>
        </w:rPr>
        <w:t>课堂表现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学习态度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</w:rPr>
              <w:t>师生互动过程表现活跃，问题有目的，</w:t>
            </w: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学习有主动性。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创作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思路</w:t>
            </w:r>
            <w:r>
              <w:rPr>
                <w:rFonts w:hint="eastAsia"/>
                <w:sz w:val="22"/>
                <w:szCs w:val="21"/>
              </w:rPr>
              <w:t>清晰，有较好的投入状态。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缺勤严重，主动学习意愿不强。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师生无互动，不能积极解决存在的问题。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过程表现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掌握专业相关技能，努力操作实践并呈现很好的作业效果。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学习专业相关知识、技能，能呈现较好的作业效果。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整体</w:t>
            </w:r>
            <w:r>
              <w:rPr>
                <w:rFonts w:hint="eastAsia"/>
                <w:sz w:val="22"/>
                <w:szCs w:val="21"/>
              </w:rPr>
              <w:t>进展缓慢，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呈现作业</w:t>
            </w:r>
            <w:r>
              <w:rPr>
                <w:rFonts w:hint="eastAsia"/>
                <w:sz w:val="22"/>
                <w:szCs w:val="21"/>
              </w:rPr>
              <w:t>效果不佳。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Times New Roman"/>
                <w:sz w:val="22"/>
                <w:szCs w:val="21"/>
                <w:lang w:val="en-US" w:eastAsia="zh-CN"/>
              </w:rPr>
              <w:t>存在问题较多，作业呈现效果很差。</w:t>
            </w:r>
          </w:p>
        </w:tc>
      </w:tr>
    </w:tbl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 w:cs="????????"/>
          <w:b/>
          <w:sz w:val="28"/>
          <w:szCs w:val="28"/>
        </w:rPr>
      </w:pPr>
      <w:r>
        <w:rPr>
          <w:rFonts w:hint="default" w:ascii="????????" w:eastAsia="Times New Roman" w:cs="????????"/>
          <w:b/>
          <w:sz w:val="24"/>
          <w:szCs w:val="24"/>
        </w:rPr>
        <w:t>2.</w:t>
      </w:r>
      <w:r>
        <w:rPr>
          <w:rFonts w:hint="default" w:ascii="????????" w:eastAsia="Times New Roman"/>
          <w:b/>
          <w:sz w:val="24"/>
          <w:szCs w:val="24"/>
        </w:rPr>
        <w:t xml:space="preserve"> </w:t>
      </w:r>
      <w:r>
        <w:rPr>
          <w:rFonts w:hint="eastAsia" w:hAnsi="宋体" w:cs="宋体"/>
          <w:b/>
          <w:sz w:val="24"/>
          <w:szCs w:val="24"/>
        </w:rPr>
        <w:t>创作实践教学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ind w:firstLine="442" w:firstLineChars="200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环境雕塑审美准则与制作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能熟练根据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环境雕塑的美学语汇和物质条件。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运用工具和材料进行创作并能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学习借鉴优秀作品的处理方式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能够根据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环境雕塑的美学语汇和物质条件。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运用工具和材料进行创作并能通过作业方式基本呈现。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根据环境雕塑特征进行创作的能力弱，通过泥塑方式呈现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效果不佳。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阶段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整体表现差。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环境雕塑的设置与环境规划的方法与制作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能充分根据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雕塑设置的要点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环境规划的要点在校园中选择地点进行实践创作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完整，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创作中在材料和形式上有一定创新，与外部环境和谐共存并有美化作用。</w:t>
            </w:r>
          </w:p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能根据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雕塑设置的要点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环境规划的要点在校园中选择地点进行实践创作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有一定表现力。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外部环境选择与创作不匹配，创作表现力弱。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投入时间不足，作品不完整，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呈现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2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效果差。</w:t>
            </w:r>
          </w:p>
        </w:tc>
      </w:tr>
    </w:tbl>
    <w:p>
      <w:pPr>
        <w:snapToGrid w:val="0"/>
        <w:spacing w:beforeLines="0" w:afterLines="0" w:line="400" w:lineRule="exact"/>
        <w:ind w:firstLine="240" w:firstLineChars="100"/>
        <w:rPr>
          <w:rFonts w:hint="default" w:ascii="????????" w:eastAsia="Times New Roman"/>
          <w:b/>
          <w:sz w:val="24"/>
          <w:szCs w:val="24"/>
        </w:rPr>
      </w:pPr>
      <w:r>
        <w:rPr>
          <w:rFonts w:hint="default" w:ascii="????????" w:eastAsia="Times New Roman"/>
          <w:b/>
          <w:sz w:val="24"/>
          <w:szCs w:val="24"/>
        </w:rPr>
        <w:t>3.</w:t>
      </w:r>
      <w:r>
        <w:rPr>
          <w:rFonts w:hint="eastAsia" w:ascii="明黑等宽" w:eastAsia="明黑等宽"/>
          <w:b/>
          <w:color w:val="000000"/>
          <w:sz w:val="24"/>
          <w:szCs w:val="24"/>
        </w:rPr>
        <w:t>作业完成情况</w:t>
      </w:r>
    </w:p>
    <w:tbl>
      <w:tblPr>
        <w:tblStyle w:val="11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268"/>
        <w:gridCol w:w="1984"/>
        <w:gridCol w:w="1985"/>
        <w:gridCol w:w="2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eastAsia"/>
                <w:b/>
                <w:sz w:val="22"/>
                <w:szCs w:val="21"/>
              </w:rPr>
              <w:t>项目</w:t>
            </w:r>
            <w:r>
              <w:rPr>
                <w:rFonts w:hint="default" w:ascii="Times New Roman"/>
                <w:b/>
                <w:sz w:val="22"/>
                <w:szCs w:val="21"/>
              </w:rPr>
              <w:t>/</w:t>
            </w:r>
            <w:r>
              <w:rPr>
                <w:rFonts w:hint="eastAsia"/>
                <w:b/>
                <w:sz w:val="22"/>
                <w:szCs w:val="21"/>
              </w:rPr>
              <w:t>分值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90</w:t>
            </w:r>
            <w:r>
              <w:rPr>
                <w:rFonts w:hint="eastAsia"/>
                <w:b/>
                <w:sz w:val="22"/>
                <w:szCs w:val="21"/>
              </w:rPr>
              <w:t>－</w:t>
            </w:r>
            <w:r>
              <w:rPr>
                <w:rFonts w:hint="default" w:ascii="Times New Roman"/>
                <w:b/>
                <w:sz w:val="22"/>
                <w:szCs w:val="21"/>
              </w:rPr>
              <w:t>100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75-89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60-74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snapToGrid w:val="0"/>
              <w:spacing w:beforeLines="0" w:afterLines="0" w:line="400" w:lineRule="exact"/>
              <w:ind w:firstLine="442" w:firstLineChars="200"/>
              <w:jc w:val="both"/>
              <w:rPr>
                <w:rFonts w:hint="default" w:ascii="Times New Roman"/>
                <w:b/>
                <w:sz w:val="22"/>
                <w:szCs w:val="21"/>
              </w:rPr>
            </w:pPr>
            <w:r>
              <w:rPr>
                <w:rFonts w:hint="default" w:ascii="Times New Roman"/>
                <w:b/>
                <w:sz w:val="22"/>
                <w:szCs w:val="21"/>
              </w:rPr>
              <w:t>0-59</w:t>
            </w:r>
            <w:r>
              <w:rPr>
                <w:rFonts w:hint="eastAsia"/>
                <w:b/>
                <w:sz w:val="22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理论转换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环境雕塑理论理解好，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能充分运用美学语汇和物质条件，创新程度、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立体造型、形式节奏、审美处理佳。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环境雕塑理论运用较好，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立体造型能力强，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有一定创新。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环境雕塑理论运用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较差，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对外部环境特性缺乏理解，有一定的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立体造型表达。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空间布局混乱，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环境雕塑特性掌握能力差，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立体造型理解差。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 w:hAnsi="Times" w:cs="Times"/>
                <w:sz w:val="22"/>
                <w:szCs w:val="21"/>
              </w:rPr>
              <w:t>作品效果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作业</w:t>
            </w:r>
            <w:r>
              <w:rPr>
                <w:rFonts w:hint="eastAsia"/>
                <w:sz w:val="22"/>
                <w:szCs w:val="21"/>
              </w:rPr>
              <w:t>完整，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能力强</w:t>
            </w:r>
            <w:r>
              <w:rPr>
                <w:rFonts w:hint="eastAsia"/>
                <w:sz w:val="22"/>
                <w:szCs w:val="21"/>
              </w:rPr>
              <w:t>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充分考虑课程要点，创新能力强，与外部环境和谐共存并有美化作用。</w:t>
            </w:r>
          </w:p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造型能力较好，整体关系较好，有一定的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表面处理</w:t>
            </w:r>
            <w:r>
              <w:rPr>
                <w:rFonts w:hint="eastAsia"/>
                <w:sz w:val="22"/>
                <w:szCs w:val="21"/>
              </w:rPr>
              <w:t>能力，表现力较强。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立体</w:t>
            </w:r>
            <w:r>
              <w:rPr>
                <w:rFonts w:hint="eastAsia"/>
                <w:sz w:val="22"/>
                <w:szCs w:val="21"/>
              </w:rPr>
              <w:t>造型能力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弱</w:t>
            </w:r>
            <w:r>
              <w:rPr>
                <w:rFonts w:hint="eastAsia"/>
                <w:sz w:val="22"/>
                <w:szCs w:val="21"/>
              </w:rPr>
              <w:t>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与外部环</w:t>
            </w:r>
            <w:bookmarkStart w:id="0" w:name="_GoBack"/>
            <w:bookmarkEnd w:id="0"/>
            <w:r>
              <w:rPr>
                <w:rFonts w:hint="eastAsia"/>
                <w:sz w:val="22"/>
                <w:szCs w:val="21"/>
                <w:lang w:val="en-US" w:eastAsia="zh-CN"/>
              </w:rPr>
              <w:t>境不能呼应，</w:t>
            </w:r>
            <w:r>
              <w:rPr>
                <w:rFonts w:hint="eastAsia"/>
                <w:sz w:val="22"/>
                <w:szCs w:val="21"/>
              </w:rPr>
              <w:t>整体关系较差，表现力弱。</w:t>
            </w:r>
          </w:p>
        </w:tc>
        <w:tc>
          <w:tcPr>
            <w:tcW w:w="20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napToGrid w:val="0"/>
              <w:spacing w:beforeLines="0" w:afterLines="0" w:line="400" w:lineRule="exact"/>
              <w:rPr>
                <w:rFonts w:hint="default" w:ascii="Times New Roman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投入时间不足，作品不完整，</w:t>
            </w:r>
            <w:r>
              <w:rPr>
                <w:rFonts w:hint="eastAsia"/>
                <w:sz w:val="22"/>
                <w:szCs w:val="21"/>
                <w:lang w:val="en-US" w:eastAsia="zh-CN"/>
              </w:rPr>
              <w:t>呈现</w:t>
            </w:r>
            <w:r>
              <w:rPr>
                <w:rFonts w:hint="eastAsia"/>
                <w:sz w:val="22"/>
                <w:szCs w:val="21"/>
              </w:rPr>
              <w:t>效果差，无表现力。</w:t>
            </w:r>
          </w:p>
        </w:tc>
      </w:tr>
    </w:tbl>
    <w:p>
      <w:pPr>
        <w:snapToGrid w:val="0"/>
        <w:spacing w:beforeLines="0" w:afterLines="0" w:line="400" w:lineRule="exact"/>
        <w:ind w:firstLine="480" w:firstLineChars="200"/>
        <w:jc w:val="both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4.期末成绩评定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期末写生作品考试成绩评定依据课程考核标准进行评分。</w:t>
      </w:r>
    </w:p>
    <w:p>
      <w:pPr>
        <w:snapToGrid w:val="0"/>
        <w:spacing w:beforeLines="0" w:afterLines="0" w:line="400" w:lineRule="exact"/>
        <w:jc w:val="both"/>
        <w:rPr>
          <w:rFonts w:hint="default" w:ascii="Times" w:cs="Times"/>
          <w:color w:val="000000"/>
          <w:sz w:val="22"/>
          <w:szCs w:val="24"/>
        </w:rPr>
      </w:pPr>
    </w:p>
    <w:p>
      <w:pPr>
        <w:snapToGrid w:val="0"/>
        <w:spacing w:beforeLines="0" w:afterLines="0" w:line="400" w:lineRule="exact"/>
        <w:jc w:val="both"/>
        <w:rPr>
          <w:rFonts w:hint="default" w:ascii="Times" w:eastAsia="Times New Roman"/>
          <w:b/>
          <w:sz w:val="22"/>
          <w:szCs w:val="24"/>
        </w:rPr>
      </w:pPr>
      <w:r>
        <w:rPr>
          <w:rFonts w:hint="eastAsia" w:ascii="明黑等宽" w:eastAsia="明黑等宽"/>
          <w:b/>
          <w:color w:val="000000"/>
          <w:sz w:val="24"/>
          <w:szCs w:val="24"/>
        </w:rPr>
        <w:t>（3）</w:t>
      </w:r>
      <w:r>
        <w:rPr>
          <w:rFonts w:hint="eastAsia" w:ascii="Times" w:hAnsi="Times" w:cs="Times"/>
          <w:b/>
          <w:sz w:val="22"/>
          <w:szCs w:val="24"/>
        </w:rPr>
        <w:t>期末成绩评定</w:t>
      </w:r>
    </w:p>
    <w:p>
      <w:pPr>
        <w:snapToGrid w:val="0"/>
        <w:spacing w:beforeLines="0" w:afterLines="0" w:line="400" w:lineRule="exact"/>
        <w:ind w:firstLine="440" w:firstLineChars="200"/>
        <w:jc w:val="both"/>
        <w:rPr>
          <w:rFonts w:hint="default" w:ascii="Times" w:eastAsia="Times New Roman"/>
          <w:sz w:val="22"/>
          <w:szCs w:val="24"/>
        </w:rPr>
      </w:pPr>
      <w:r>
        <w:rPr>
          <w:rFonts w:hint="eastAsia" w:ascii="Times" w:hAnsi="Times" w:cs="Times"/>
          <w:sz w:val="22"/>
          <w:szCs w:val="24"/>
        </w:rPr>
        <w:t>期末成绩根据老师拟定的写生内容、考试要求进行，材料</w:t>
      </w:r>
      <w:r>
        <w:rPr>
          <w:rFonts w:hint="eastAsia" w:ascii="Times" w:hAnsi="Times" w:cs="Times"/>
          <w:sz w:val="22"/>
          <w:szCs w:val="24"/>
          <w:lang w:val="en-US" w:eastAsia="zh-CN"/>
        </w:rPr>
        <w:t>不限</w:t>
      </w:r>
      <w:r>
        <w:rPr>
          <w:rFonts w:hint="eastAsia" w:ascii="Times" w:hAnsi="Times" w:cs="Times"/>
          <w:sz w:val="22"/>
          <w:szCs w:val="24"/>
        </w:rPr>
        <w:t>，</w:t>
      </w:r>
      <w:r>
        <w:rPr>
          <w:rFonts w:hint="eastAsia" w:ascii="Times" w:hAnsi="Times" w:cs="Times"/>
          <w:sz w:val="22"/>
          <w:szCs w:val="24"/>
          <w:lang w:val="en-US" w:eastAsia="zh-CN"/>
        </w:rPr>
        <w:t>按教授步骤、方法进行创作</w:t>
      </w:r>
      <w:r>
        <w:rPr>
          <w:rFonts w:hint="eastAsia" w:ascii="Times" w:hAnsi="Times" w:cs="Times"/>
          <w:sz w:val="22"/>
          <w:szCs w:val="24"/>
        </w:rPr>
        <w:t>，在规定时间完成一件</w:t>
      </w:r>
      <w:r>
        <w:rPr>
          <w:rFonts w:hint="eastAsia" w:ascii="Times" w:hAnsi="Times" w:cs="Times"/>
          <w:sz w:val="22"/>
          <w:szCs w:val="24"/>
          <w:lang w:val="en-US" w:eastAsia="zh-CN"/>
        </w:rPr>
        <w:t>环境雕塑</w:t>
      </w:r>
      <w:r>
        <w:rPr>
          <w:rFonts w:hint="eastAsia" w:ascii="Times" w:hAnsi="Times" w:cs="Times"/>
          <w:sz w:val="22"/>
          <w:szCs w:val="24"/>
        </w:rPr>
        <w:t>作品。具体要求：</w:t>
      </w:r>
      <w:r>
        <w:rPr>
          <w:rFonts w:hint="eastAsia" w:ascii="Times" w:hAnsi="Times" w:cs="Times"/>
          <w:sz w:val="22"/>
          <w:szCs w:val="24"/>
          <w:lang w:val="en-US" w:eastAsia="zh-CN"/>
        </w:rPr>
        <w:t>作业</w:t>
      </w:r>
      <w:r>
        <w:rPr>
          <w:rFonts w:hint="eastAsia" w:ascii="Times" w:hAnsi="Times" w:cs="Times"/>
          <w:sz w:val="22"/>
          <w:szCs w:val="24"/>
        </w:rPr>
        <w:t>完整、</w:t>
      </w:r>
      <w:r>
        <w:rPr>
          <w:rFonts w:hint="eastAsia" w:ascii="Times" w:hAnsi="Times" w:cs="Times"/>
          <w:sz w:val="22"/>
          <w:szCs w:val="24"/>
          <w:lang w:val="en-US" w:eastAsia="zh-CN"/>
        </w:rPr>
        <w:t>创作主体塑造风格</w:t>
      </w:r>
      <w:r>
        <w:rPr>
          <w:rFonts w:hint="eastAsia" w:ascii="Times" w:hAnsi="Times" w:cs="Times"/>
          <w:sz w:val="22"/>
          <w:szCs w:val="24"/>
        </w:rPr>
        <w:t>统一、</w:t>
      </w:r>
      <w:r>
        <w:rPr>
          <w:rFonts w:hint="eastAsia" w:ascii="Times" w:hAnsi="Times" w:cs="Times"/>
          <w:sz w:val="22"/>
          <w:szCs w:val="24"/>
          <w:lang w:val="en-US" w:eastAsia="zh-CN"/>
        </w:rPr>
        <w:t>体积空间</w:t>
      </w:r>
      <w:r>
        <w:rPr>
          <w:rFonts w:hint="eastAsia" w:ascii="Times" w:hAnsi="Times" w:cs="Times"/>
          <w:sz w:val="22"/>
          <w:szCs w:val="24"/>
        </w:rPr>
        <w:t>关系正确、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表面肌理处理恰当、有一定创新</w:t>
      </w:r>
      <w:r>
        <w:rPr>
          <w:rFonts w:hint="eastAsia" w:ascii="Times" w:hAnsi="Times" w:cs="Times"/>
          <w:sz w:val="22"/>
          <w:szCs w:val="24"/>
        </w:rPr>
        <w:t>，</w:t>
      </w:r>
      <w:r>
        <w:rPr>
          <w:rFonts w:hint="eastAsia"/>
          <w:sz w:val="22"/>
          <w:szCs w:val="21"/>
          <w:lang w:val="en-US" w:eastAsia="zh-CN"/>
        </w:rPr>
        <w:t>与外部环境和谐共存并有美化作用，</w:t>
      </w:r>
      <w:r>
        <w:rPr>
          <w:rFonts w:hint="eastAsia" w:ascii="Times" w:hAnsi="Times" w:cs="Times"/>
          <w:sz w:val="22"/>
          <w:szCs w:val="24"/>
        </w:rPr>
        <w:t>有一定的个人</w:t>
      </w:r>
      <w:r>
        <w:rPr>
          <w:rFonts w:hint="eastAsia" w:ascii="Times" w:hAnsi="Times" w:cs="Times"/>
          <w:sz w:val="22"/>
          <w:szCs w:val="24"/>
          <w:lang w:val="en-US" w:eastAsia="zh-CN"/>
        </w:rPr>
        <w:t>雕塑</w:t>
      </w:r>
      <w:r>
        <w:rPr>
          <w:rFonts w:hint="eastAsia" w:ascii="Times" w:hAnsi="Times" w:cs="Times"/>
          <w:sz w:val="22"/>
          <w:szCs w:val="24"/>
        </w:rPr>
        <w:t>审美特点。</w:t>
      </w:r>
    </w:p>
    <w:p>
      <w:pPr>
        <w:snapToGrid w:val="0"/>
        <w:spacing w:beforeLines="0" w:afterLines="0" w:line="400" w:lineRule="exact"/>
        <w:ind w:firstLine="440" w:firstLineChars="200"/>
        <w:jc w:val="both"/>
        <w:rPr>
          <w:rFonts w:hint="default" w:ascii="Times" w:eastAsia="Times New Roman"/>
          <w:sz w:val="22"/>
          <w:szCs w:val="24"/>
        </w:rPr>
      </w:pPr>
      <w:r>
        <w:rPr>
          <w:rFonts w:hint="eastAsia" w:ascii="Times" w:hAnsi="Times" w:cs="Times"/>
          <w:sz w:val="22"/>
          <w:szCs w:val="24"/>
        </w:rPr>
        <w:t>期末成绩（</w:t>
      </w:r>
      <w:r>
        <w:rPr>
          <w:rFonts w:hint="default" w:ascii="Times" w:hAnsi="Times" w:cs="Times"/>
          <w:sz w:val="22"/>
          <w:szCs w:val="24"/>
        </w:rPr>
        <w:t>100%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=</w:t>
      </w:r>
      <w:r>
        <w:rPr>
          <w:rFonts w:hint="eastAsia" w:ascii="Times" w:hAnsi="Times" w:cs="Times"/>
          <w:sz w:val="22"/>
          <w:szCs w:val="24"/>
          <w:lang w:val="en-US" w:eastAsia="zh-CN"/>
        </w:rPr>
        <w:t>作业完成度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4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/>
          <w:sz w:val="22"/>
          <w:szCs w:val="21"/>
          <w:lang w:val="en-US" w:eastAsia="zh-CN"/>
        </w:rPr>
        <w:t>与外部环境关系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3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  <w:lang w:val="en-US" w:eastAsia="zh-CN"/>
        </w:rPr>
        <w:t>体积空间</w:t>
      </w:r>
      <w:r>
        <w:rPr>
          <w:rFonts w:hint="eastAsia" w:ascii="Times" w:hAnsi="Times" w:cs="Times"/>
          <w:sz w:val="22"/>
          <w:szCs w:val="24"/>
        </w:rPr>
        <w:t>关系正确、</w:t>
      </w:r>
      <w:r>
        <w:rPr>
          <w:rFonts w:hint="eastAsia" w:ascii="Times" w:hAnsi="Times" w:cs="Times"/>
          <w:sz w:val="22"/>
          <w:szCs w:val="24"/>
          <w:lang w:val="en-US" w:eastAsia="zh-CN"/>
        </w:rPr>
        <w:t>表面肌理处理恰当、有一定创新</w:t>
      </w:r>
      <w:r>
        <w:rPr>
          <w:rFonts w:hint="default" w:ascii="Times" w:hAnsi="Times" w:cs="Times"/>
          <w:sz w:val="22"/>
          <w:szCs w:val="24"/>
        </w:rPr>
        <w:t xml:space="preserve"> </w:t>
      </w:r>
      <w:r>
        <w:rPr>
          <w:rFonts w:hint="eastAsia" w:ascii="Times" w:hAnsi="Times" w:cs="Times"/>
          <w:sz w:val="22"/>
          <w:szCs w:val="24"/>
        </w:rPr>
        <w:t>（</w:t>
      </w:r>
      <w:r>
        <w:rPr>
          <w:rFonts w:hint="eastAsia" w:ascii="Times" w:hAnsi="Times" w:cs="Times"/>
          <w:sz w:val="22"/>
          <w:szCs w:val="24"/>
          <w:lang w:val="en-US" w:eastAsia="zh-CN"/>
        </w:rPr>
        <w:t>2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</w:t>
      </w:r>
      <w:r>
        <w:rPr>
          <w:rFonts w:hint="default" w:ascii="Times" w:hAnsi="Times" w:cs="Times"/>
          <w:sz w:val="22"/>
          <w:szCs w:val="24"/>
        </w:rPr>
        <w:t>+</w:t>
      </w:r>
      <w:r>
        <w:rPr>
          <w:rFonts w:hint="eastAsia" w:ascii="Times" w:hAnsi="Times" w:cs="Times"/>
          <w:sz w:val="22"/>
          <w:szCs w:val="24"/>
        </w:rPr>
        <w:t>语言审美特点突出（</w:t>
      </w:r>
      <w:r>
        <w:rPr>
          <w:rFonts w:hint="eastAsia" w:ascii="Times" w:hAnsi="Times" w:cs="Times"/>
          <w:sz w:val="22"/>
          <w:szCs w:val="24"/>
          <w:lang w:val="en-US" w:eastAsia="zh-CN"/>
        </w:rPr>
        <w:t>1</w:t>
      </w:r>
      <w:r>
        <w:rPr>
          <w:rFonts w:hint="default" w:ascii="Times" w:hAnsi="Times" w:cs="Times"/>
          <w:sz w:val="22"/>
          <w:szCs w:val="24"/>
        </w:rPr>
        <w:t>0%</w:t>
      </w:r>
      <w:r>
        <w:rPr>
          <w:rFonts w:hint="eastAsia" w:ascii="Times" w:hAnsi="Times" w:cs="Times"/>
          <w:sz w:val="22"/>
          <w:szCs w:val="24"/>
        </w:rPr>
        <w:t>）。</w:t>
      </w:r>
    </w:p>
    <w:p/>
    <w:p>
      <w:pPr>
        <w:spacing w:line="360" w:lineRule="auto"/>
        <w:ind w:firstLine="482" w:firstLineChars="200"/>
        <w:rPr>
          <w:rFonts w:hint="default" w:ascii="Times New Roman" w:hAnsi="Times New Roman" w:eastAsia="宋体" w:cs="Times New Roman"/>
          <w:b/>
          <w:bCs/>
          <w:sz w:val="24"/>
          <w:szCs w:val="24"/>
          <w:highlight w:val="none"/>
          <w:lang w:eastAsia="zh-CN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beforeLines="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</w:pP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五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、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  <w:lang w:eastAsia="zh-CN"/>
        </w:rPr>
        <w:t>其他</w:t>
      </w:r>
      <w:r>
        <w:rPr>
          <w:rFonts w:hint="default" w:ascii="Times New Roman" w:hAnsi="Times New Roman" w:eastAsia="黑体" w:cs="Times New Roman"/>
          <w:kern w:val="0"/>
          <w:sz w:val="28"/>
          <w:szCs w:val="28"/>
          <w:highlight w:val="none"/>
        </w:rPr>
        <w:t>说明</w:t>
      </w:r>
    </w:p>
    <w:p>
      <w:pPr>
        <w:autoSpaceDE w:val="0"/>
        <w:autoSpaceDN w:val="0"/>
        <w:adjustRightInd w:val="0"/>
        <w:snapToGrid w:val="0"/>
        <w:spacing w:beforeLines="0" w:afterLines="0" w:line="400" w:lineRule="exact"/>
        <w:ind w:firstLine="480" w:firstLineChars="200"/>
        <w:jc w:val="left"/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雕塑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教学系（教研室）讨论制定，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美术学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院（部）教学工作委员会审定，教务处审核批准，自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  <w:highlight w:val="none"/>
          <w:lang w:val="en-US" w:eastAsia="zh-CN"/>
        </w:rPr>
        <w:t>2024</w:t>
      </w:r>
      <w:r>
        <w:rPr>
          <w:rFonts w:hint="default" w:ascii="Times New Roman" w:hAnsi="Times New Roman" w:eastAsia="宋体" w:cs="Times New Roman"/>
          <w:color w:val="000000"/>
          <w:kern w:val="0"/>
          <w:sz w:val="24"/>
          <w:szCs w:val="24"/>
          <w:highlight w:val="none"/>
        </w:rPr>
        <w:t>级开始执行。</w:t>
      </w:r>
    </w:p>
    <w:p>
      <w:pPr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highlight w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EF51AE-3862-4CF1-80DF-8EB00A90EAD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明黑等宽">
    <w:altName w:val="黑体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2" w:fontKey="{F4B3E005-29BC-4A0A-AA48-44A3EAE38D1B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">
    <w:altName w:val="Times New Roman"/>
    <w:panose1 w:val="00000500000000020000"/>
    <w:charset w:val="00"/>
    <w:family w:val="roman"/>
    <w:pitch w:val="default"/>
    <w:sig w:usb0="00000000" w:usb1="00000000" w:usb2="00000000" w:usb3="00000000" w:csb0="00000000" w:csb1="00000000"/>
    <w:embedRegular r:id="rId3" w:fontKey="{5808CA0B-BC61-4EE1-BB86-4C4D6F9796E0}"/>
  </w:font>
  <w:font w:name="pingfang sc">
    <w:altName w:val="宋体"/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4" w:fontKey="{67ABFCBD-3DE0-4D0F-952E-B4CEC9F7F805}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5" w:fontKey="{D3EAA651-1D7C-4D7E-817E-D135B4F1BD21}"/>
  </w:font>
  <w:font w:name="Hiragino Sans GB W6">
    <w:altName w:val="Malgun Gothic Semilight"/>
    <w:panose1 w:val="020B0300000000000000"/>
    <w:charset w:val="80"/>
    <w:family w:val="swiss"/>
    <w:pitch w:val="default"/>
    <w:sig w:usb0="00000000" w:usb1="00000000" w:usb2="00000000" w:usb3="00000000" w:csb0="00160000" w:csb1="00000000"/>
    <w:embedRegular r:id="rId6" w:fontKey="{3FC39DD4-FD52-478F-96E9-6A550FC47964}"/>
  </w:font>
  <w:font w:name="????????">
    <w:altName w:val="Calibri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hint="eastAsia"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037247"/>
    <w:multiLevelType w:val="singleLevel"/>
    <w:tmpl w:val="CD03724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D83F366"/>
    <w:multiLevelType w:val="singleLevel"/>
    <w:tmpl w:val="ED83F36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5OWFlYmIzY2NkYTdlNDgyZWIzYjBmZjY4Y2M1NDMifQ=="/>
  </w:docVars>
  <w:rsids>
    <w:rsidRoot w:val="008F4441"/>
    <w:rsid w:val="00001AA7"/>
    <w:rsid w:val="00085F49"/>
    <w:rsid w:val="000C5191"/>
    <w:rsid w:val="000D6B29"/>
    <w:rsid w:val="001C72BE"/>
    <w:rsid w:val="001D02A4"/>
    <w:rsid w:val="001D24B0"/>
    <w:rsid w:val="001F0978"/>
    <w:rsid w:val="00241260"/>
    <w:rsid w:val="002D45DB"/>
    <w:rsid w:val="00300172"/>
    <w:rsid w:val="00317DE6"/>
    <w:rsid w:val="003708BC"/>
    <w:rsid w:val="003C51E5"/>
    <w:rsid w:val="00400041"/>
    <w:rsid w:val="004770EC"/>
    <w:rsid w:val="004C400D"/>
    <w:rsid w:val="004F64DB"/>
    <w:rsid w:val="00530E74"/>
    <w:rsid w:val="00542479"/>
    <w:rsid w:val="005424AA"/>
    <w:rsid w:val="00544EAA"/>
    <w:rsid w:val="005538AE"/>
    <w:rsid w:val="006035BD"/>
    <w:rsid w:val="00755E85"/>
    <w:rsid w:val="007A2E5A"/>
    <w:rsid w:val="008F4441"/>
    <w:rsid w:val="00903BA2"/>
    <w:rsid w:val="00A02E2B"/>
    <w:rsid w:val="00A17432"/>
    <w:rsid w:val="00A23A71"/>
    <w:rsid w:val="00A90958"/>
    <w:rsid w:val="00AD3E5A"/>
    <w:rsid w:val="00AD5FBC"/>
    <w:rsid w:val="00C2471D"/>
    <w:rsid w:val="00C431A3"/>
    <w:rsid w:val="00C67328"/>
    <w:rsid w:val="00CE18CA"/>
    <w:rsid w:val="00D150FB"/>
    <w:rsid w:val="00D30B38"/>
    <w:rsid w:val="00EC4EB7"/>
    <w:rsid w:val="00ED5A20"/>
    <w:rsid w:val="00F03B7C"/>
    <w:rsid w:val="00F47977"/>
    <w:rsid w:val="00F856C2"/>
    <w:rsid w:val="00F93584"/>
    <w:rsid w:val="00FB1211"/>
    <w:rsid w:val="00FE1C84"/>
    <w:rsid w:val="00FF64D3"/>
    <w:rsid w:val="0136557F"/>
    <w:rsid w:val="01C53654"/>
    <w:rsid w:val="07E51AAD"/>
    <w:rsid w:val="098F1CD1"/>
    <w:rsid w:val="09B723B2"/>
    <w:rsid w:val="09E04A7A"/>
    <w:rsid w:val="0A694E8C"/>
    <w:rsid w:val="0B116715"/>
    <w:rsid w:val="0CA77331"/>
    <w:rsid w:val="0DC91529"/>
    <w:rsid w:val="10771710"/>
    <w:rsid w:val="117B2B3A"/>
    <w:rsid w:val="12570766"/>
    <w:rsid w:val="127952CC"/>
    <w:rsid w:val="13082AF4"/>
    <w:rsid w:val="13BB7B66"/>
    <w:rsid w:val="14847F58"/>
    <w:rsid w:val="16201F02"/>
    <w:rsid w:val="18041ADC"/>
    <w:rsid w:val="18CB084B"/>
    <w:rsid w:val="19BE21E6"/>
    <w:rsid w:val="1B1D4C62"/>
    <w:rsid w:val="1CBA6C0D"/>
    <w:rsid w:val="1F66526C"/>
    <w:rsid w:val="21874A34"/>
    <w:rsid w:val="21EE1107"/>
    <w:rsid w:val="233B65CE"/>
    <w:rsid w:val="235B6396"/>
    <w:rsid w:val="236D52DD"/>
    <w:rsid w:val="2415665F"/>
    <w:rsid w:val="24B44889"/>
    <w:rsid w:val="25ED50B4"/>
    <w:rsid w:val="2674607E"/>
    <w:rsid w:val="27EB4340"/>
    <w:rsid w:val="28243AD4"/>
    <w:rsid w:val="2A6D6A8C"/>
    <w:rsid w:val="2C5D5807"/>
    <w:rsid w:val="2C6646BB"/>
    <w:rsid w:val="2CA13D59"/>
    <w:rsid w:val="2ED31DB0"/>
    <w:rsid w:val="2F76515D"/>
    <w:rsid w:val="2FE42670"/>
    <w:rsid w:val="308E41E1"/>
    <w:rsid w:val="31496359"/>
    <w:rsid w:val="34963664"/>
    <w:rsid w:val="365C5588"/>
    <w:rsid w:val="376D439E"/>
    <w:rsid w:val="3834566E"/>
    <w:rsid w:val="38A127D5"/>
    <w:rsid w:val="39DD3FBF"/>
    <w:rsid w:val="3A541FF7"/>
    <w:rsid w:val="3B567FF1"/>
    <w:rsid w:val="3BBA0580"/>
    <w:rsid w:val="3DD27E02"/>
    <w:rsid w:val="3EE31B9B"/>
    <w:rsid w:val="421B33FA"/>
    <w:rsid w:val="43985B28"/>
    <w:rsid w:val="459E681C"/>
    <w:rsid w:val="45E36925"/>
    <w:rsid w:val="464B19A0"/>
    <w:rsid w:val="47BB0D03"/>
    <w:rsid w:val="48B620CF"/>
    <w:rsid w:val="493723E6"/>
    <w:rsid w:val="4AD60806"/>
    <w:rsid w:val="4B0F469C"/>
    <w:rsid w:val="4B2C0426"/>
    <w:rsid w:val="4C993E74"/>
    <w:rsid w:val="4D0A29E9"/>
    <w:rsid w:val="4F5F7983"/>
    <w:rsid w:val="50AE4F53"/>
    <w:rsid w:val="52BC29D7"/>
    <w:rsid w:val="54E63D3C"/>
    <w:rsid w:val="56151E85"/>
    <w:rsid w:val="56DA16D1"/>
    <w:rsid w:val="5BE2723C"/>
    <w:rsid w:val="5C6171FB"/>
    <w:rsid w:val="6192502F"/>
    <w:rsid w:val="62873A05"/>
    <w:rsid w:val="63BE65AF"/>
    <w:rsid w:val="63E1404C"/>
    <w:rsid w:val="652A1A23"/>
    <w:rsid w:val="656071F2"/>
    <w:rsid w:val="68E5013A"/>
    <w:rsid w:val="6BFE6D76"/>
    <w:rsid w:val="6C0B610A"/>
    <w:rsid w:val="6D9D5488"/>
    <w:rsid w:val="70BC04CC"/>
    <w:rsid w:val="70C61997"/>
    <w:rsid w:val="711E68DF"/>
    <w:rsid w:val="724B3147"/>
    <w:rsid w:val="73041C9C"/>
    <w:rsid w:val="73AD7646"/>
    <w:rsid w:val="758A4BF7"/>
    <w:rsid w:val="761958C7"/>
    <w:rsid w:val="76A446E6"/>
    <w:rsid w:val="78F341AE"/>
    <w:rsid w:val="7A1D204C"/>
    <w:rsid w:val="7BBE5ECF"/>
    <w:rsid w:val="7BC9569A"/>
    <w:rsid w:val="7C23605A"/>
    <w:rsid w:val="7DAE0FEB"/>
    <w:rsid w:val="7F2F7F0A"/>
    <w:rsid w:val="7FA36806"/>
    <w:rsid w:val="7FA501CC"/>
    <w:rsid w:val="7FFD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 w:beforeLines="0" w:afterLines="0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ody Text"/>
    <w:basedOn w:val="1"/>
    <w:link w:val="23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unhideWhenUsed/>
    <w:qFormat/>
    <w:uiPriority w:val="99"/>
    <w:rPr>
      <w:sz w:val="24"/>
    </w:rPr>
  </w:style>
  <w:style w:type="paragraph" w:styleId="9">
    <w:name w:val="Title"/>
    <w:basedOn w:val="1"/>
    <w:next w:val="1"/>
    <w:link w:val="18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10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table" w:styleId="12">
    <w:name w:val="Table Grid"/>
    <w:basedOn w:val="11"/>
    <w:qFormat/>
    <w:uiPriority w:val="3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99"/>
    <w:rPr>
      <w:rFonts w:cs="Times New Roman"/>
      <w:b/>
    </w:rPr>
  </w:style>
  <w:style w:type="character" w:styleId="15">
    <w:name w:val="annotation reference"/>
    <w:basedOn w:val="13"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3"/>
    <w:link w:val="7"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6"/>
    <w:qFormat/>
    <w:uiPriority w:val="99"/>
    <w:rPr>
      <w:sz w:val="18"/>
      <w:szCs w:val="18"/>
    </w:rPr>
  </w:style>
  <w:style w:type="character" w:customStyle="1" w:styleId="18">
    <w:name w:val="标题 Char"/>
    <w:basedOn w:val="13"/>
    <w:link w:val="9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9">
    <w:name w:val="批注文字 Char"/>
    <w:basedOn w:val="13"/>
    <w:link w:val="3"/>
    <w:qFormat/>
    <w:uiPriority w:val="99"/>
  </w:style>
  <w:style w:type="character" w:customStyle="1" w:styleId="20">
    <w:name w:val="批注框文本 Char"/>
    <w:basedOn w:val="13"/>
    <w:link w:val="5"/>
    <w:semiHidden/>
    <w:qFormat/>
    <w:uiPriority w:val="99"/>
    <w:rPr>
      <w:sz w:val="18"/>
      <w:szCs w:val="18"/>
    </w:rPr>
  </w:style>
  <w:style w:type="character" w:customStyle="1" w:styleId="21">
    <w:name w:val="批注主题 Char"/>
    <w:basedOn w:val="19"/>
    <w:link w:val="10"/>
    <w:semiHidden/>
    <w:qFormat/>
    <w:uiPriority w:val="99"/>
    <w:rPr>
      <w:b/>
      <w:bCs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正文文本 Char"/>
    <w:basedOn w:val="13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4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5">
    <w:name w:val="Table Paragraph"/>
    <w:unhideWhenUsed/>
    <w:qFormat/>
    <w:uiPriority w:val="1"/>
    <w:pPr>
      <w:widowControl w:val="0"/>
      <w:autoSpaceDE w:val="0"/>
      <w:autoSpaceDN w:val="0"/>
      <w:adjustRightInd w:val="0"/>
      <w:spacing w:beforeLines="0" w:afterLines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  <w:style w:type="character" w:customStyle="1" w:styleId="26">
    <w:name w:val="s1"/>
    <w:basedOn w:val="13"/>
    <w:qFormat/>
    <w:uiPriority w:val="0"/>
    <w:rPr>
      <w:rFonts w:ascii="Times" w:hAnsi="Times" w:eastAsia="Times" w:cs="Times"/>
      <w:sz w:val="22"/>
      <w:szCs w:val="22"/>
    </w:rPr>
  </w:style>
  <w:style w:type="paragraph" w:customStyle="1" w:styleId="27">
    <w:name w:val="p1"/>
    <w:basedOn w:val="1"/>
    <w:qFormat/>
    <w:uiPriority w:val="0"/>
    <w:pPr>
      <w:spacing w:before="0" w:beforeAutospacing="0" w:after="0" w:afterAutospacing="0" w:line="400" w:lineRule="atLeast"/>
      <w:ind w:left="0" w:right="0" w:firstLine="440"/>
      <w:jc w:val="left"/>
    </w:pPr>
    <w:rPr>
      <w:rFonts w:ascii="pingfang sc" w:hAnsi="pingfang sc" w:eastAsia="pingfang sc" w:cs="pingfang sc"/>
      <w:kern w:val="0"/>
      <w:sz w:val="22"/>
      <w:szCs w:val="22"/>
      <w:lang w:val="en-US" w:eastAsia="zh-CN" w:bidi="ar"/>
    </w:rPr>
  </w:style>
  <w:style w:type="character" w:customStyle="1" w:styleId="28">
    <w:name w:val="s3"/>
    <w:basedOn w:val="13"/>
    <w:qFormat/>
    <w:uiPriority w:val="0"/>
    <w:rPr>
      <w:rFonts w:ascii="Times New Roman" w:hAnsi="Times New Roman" w:cs="Times New Roman"/>
      <w:sz w:val="22"/>
      <w:szCs w:val="22"/>
    </w:rPr>
  </w:style>
  <w:style w:type="character" w:customStyle="1" w:styleId="29">
    <w:name w:val="s2"/>
    <w:basedOn w:val="13"/>
    <w:qFormat/>
    <w:uiPriority w:val="0"/>
    <w:rPr>
      <w:rFonts w:ascii="helvetica" w:hAnsi="helvetica" w:eastAsia="helvetica" w:cs="helvetica"/>
      <w:sz w:val="22"/>
      <w:szCs w:val="22"/>
    </w:rPr>
  </w:style>
  <w:style w:type="paragraph" w:customStyle="1" w:styleId="30">
    <w:name w:val="正文aa"/>
    <w:basedOn w:val="1"/>
    <w:qFormat/>
    <w:uiPriority w:val="0"/>
    <w:pPr>
      <w:spacing w:line="360" w:lineRule="exact"/>
      <w:ind w:left="475" w:leftChars="226"/>
    </w:pPr>
    <w:rPr>
      <w:rFonts w:eastAsia="宋体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3314</Words>
  <Characters>3688</Characters>
  <Lines>20</Lines>
  <Paragraphs>5</Paragraphs>
  <TotalTime>19</TotalTime>
  <ScaleCrop>false</ScaleCrop>
  <LinksUpToDate>false</LinksUpToDate>
  <CharactersWithSpaces>3767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2023-06-26T04:43:00Z</dcterms:created>
  <dc:creator>曾秀红</dc:creator>
  <cp:lastModifiedBy>"Hui"</cp:lastModifiedBy>
  <cp:lastPrinted>2023-06-30T00:57:00Z</cp:lastPrinted>
  <dcterms:modified xsi:type="dcterms:W3CDTF">2023-11-19T10:34:07Z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C370BD51641049BE9E062DE0F2129E7B_12</vt:lpwstr>
  </property>
</Properties>
</file>