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《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  <w:lang w:val="en-US" w:eastAsia="zh-CN"/>
        </w:rPr>
        <w:t>水彩画（人物）</w: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》实验（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技能</w: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）课程教学大纲</w:t>
      </w:r>
    </w:p>
    <w:p>
      <w:pPr>
        <w:spacing w:line="360" w:lineRule="auto"/>
        <w:ind w:firstLine="56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一、课程简介</w:t>
      </w:r>
    </w:p>
    <w:tbl>
      <w:tblPr>
        <w:tblStyle w:val="10"/>
        <w:tblpPr w:leftFromText="180" w:rightFromText="180" w:vertAnchor="text" w:horzAnchor="margin" w:tblpXSpec="center" w:tblpY="152"/>
        <w:tblW w:w="499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895"/>
        <w:gridCol w:w="1232"/>
        <w:gridCol w:w="59"/>
        <w:gridCol w:w="1233"/>
        <w:gridCol w:w="269"/>
        <w:gridCol w:w="418"/>
        <w:gridCol w:w="490"/>
        <w:gridCol w:w="857"/>
        <w:gridCol w:w="136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水彩画（人物）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课程英文名</w:t>
            </w:r>
          </w:p>
        </w:tc>
        <w:tc>
          <w:tcPr>
            <w:tcW w:w="2749" w:type="pct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Watercolor painting (figure)</w:t>
            </w:r>
          </w:p>
        </w:tc>
        <w:tc>
          <w:tcPr>
            <w:tcW w:w="725" w:type="pct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733" w:type="pct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是 </w:t>
            </w:r>
            <w:r>
              <w:rPr>
                <w:rFonts w:hint="eastAsia" w:ascii="宋体" w:hAnsi="宋体" w:eastAsia="宋体" w:cs="Times New Roman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课程代码</w:t>
            </w:r>
          </w:p>
        </w:tc>
        <w:tc>
          <w:tcPr>
            <w:tcW w:w="1020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13112514</w:t>
            </w:r>
          </w:p>
        </w:tc>
        <w:tc>
          <w:tcPr>
            <w:tcW w:w="695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课程学分</w:t>
            </w:r>
          </w:p>
        </w:tc>
        <w:tc>
          <w:tcPr>
            <w:tcW w:w="664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3</w:t>
            </w:r>
          </w:p>
        </w:tc>
        <w:tc>
          <w:tcPr>
            <w:tcW w:w="63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cs="Times New Roman"/>
                <w:b/>
                <w:szCs w:val="21"/>
                <w:lang w:bidi="ar"/>
              </w:rPr>
              <w:t>总学时数</w:t>
            </w:r>
          </w:p>
        </w:tc>
        <w:tc>
          <w:tcPr>
            <w:tcW w:w="1192" w:type="pct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课程类别</w:t>
            </w:r>
          </w:p>
        </w:tc>
        <w:tc>
          <w:tcPr>
            <w:tcW w:w="1020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专业基础课程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专业核心课程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</w:rPr>
              <w:t>专业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拓展</w:t>
            </w:r>
            <w:r>
              <w:rPr>
                <w:rFonts w:hint="eastAsia" w:ascii="宋体" w:hAnsi="宋体" w:eastAsia="宋体" w:cs="宋体"/>
                <w:szCs w:val="21"/>
              </w:rPr>
              <w:t>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其他</w:t>
            </w:r>
          </w:p>
        </w:tc>
        <w:tc>
          <w:tcPr>
            <w:tcW w:w="695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课程性质</w:t>
            </w:r>
          </w:p>
        </w:tc>
        <w:tc>
          <w:tcPr>
            <w:tcW w:w="664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必修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□选修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其他</w:t>
            </w:r>
          </w:p>
        </w:tc>
        <w:tc>
          <w:tcPr>
            <w:tcW w:w="63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课程形态</w:t>
            </w:r>
          </w:p>
        </w:tc>
        <w:tc>
          <w:tcPr>
            <w:tcW w:w="1192" w:type="pct"/>
            <w:gridSpan w:val="2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  <w:lang w:bidi="ar"/>
              </w:rPr>
              <w:t>√</w:t>
            </w:r>
            <w:r>
              <w:rPr>
                <w:rFonts w:hint="eastAsia" w:hAnsi="宋体"/>
                <w:szCs w:val="21"/>
                <w:lang w:bidi="ar"/>
              </w:rPr>
              <w:t>线下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□线上线下混合式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int="eastAsia" w:hAnsi="宋体"/>
                <w:szCs w:val="21"/>
                <w:lang w:bidi="ar"/>
              </w:rPr>
              <w:t>□社会实践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□虚拟仿真实验教学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napToGrid w:val="0"/>
              <w:spacing w:line="4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□闭卷  □开卷  □课程论文 </w:t>
            </w: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课程作品  </w:t>
            </w: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汇报展示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报告   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课堂表现  </w:t>
            </w: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阶段性测试  </w:t>
            </w:r>
            <w:r>
              <w:rPr>
                <w:rFonts w:hint="eastAsia" w:ascii="宋体" w:hAnsi="宋体" w:eastAsia="宋体" w:cs="宋体"/>
                <w:szCs w:val="21"/>
                <w:lang w:eastAsia="zh-CN" w:bidi="ar"/>
              </w:rPr>
              <w:t>☑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平时作业   □其他</w:t>
            </w:r>
            <w:r>
              <w:rPr>
                <w:rFonts w:hint="eastAsia" w:hAnsi="宋体"/>
                <w:szCs w:val="21"/>
                <w:lang w:bidi="ar"/>
              </w:rPr>
              <w:t>（可多选）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系(教研室)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美术学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美术学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开课学期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七</w:t>
            </w:r>
            <w:r>
              <w:rPr>
                <w:rFonts w:ascii="Times New Roman" w:hAnsi="Times New Roman" w:eastAsia="宋体" w:cs="Times New Roman"/>
                <w:szCs w:val="21"/>
              </w:rPr>
              <w:t>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邹璐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审核人</w:t>
            </w:r>
          </w:p>
        </w:tc>
        <w:tc>
          <w:tcPr>
            <w:tcW w:w="1683" w:type="pct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潘登福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FF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水彩画（基础）、写实素描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FF0000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水彩画材料与技法；水彩画（创作基础）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Times New Roman" w:hAnsi="Times New Roman" w:cs="Times New Roman" w:eastAsiaTheme="minorEastAsia"/>
                <w:color w:val="FF0000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周刚</w:t>
            </w:r>
            <w:r>
              <w:rPr>
                <w:rFonts w:hint="eastAsia"/>
                <w:color w:val="auto"/>
                <w:szCs w:val="21"/>
              </w:rPr>
              <w:t>.</w:t>
            </w:r>
            <w:r>
              <w:rPr>
                <w:rFonts w:ascii="Times New Roman" w:hAnsi="Times New Roman" w:eastAsia="宋体" w:cs="Times New Roman"/>
                <w:color w:val="FF0000"/>
                <w:szCs w:val="21"/>
              </w:rPr>
              <w:t xml:space="preserve"> 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水彩画</w:t>
            </w:r>
            <w:r>
              <w:rPr>
                <w:rFonts w:ascii="Times" w:hAnsi="Times" w:cs="Times"/>
                <w:color w:val="auto"/>
                <w:szCs w:val="21"/>
              </w:rPr>
              <w:t>[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M</w:t>
            </w:r>
            <w:r>
              <w:rPr>
                <w:rFonts w:ascii="Times" w:hAnsi="Times" w:cs="Times"/>
                <w:color w:val="auto"/>
                <w:szCs w:val="21"/>
              </w:rPr>
              <w:t>]</w:t>
            </w:r>
            <w:r>
              <w:rPr>
                <w:rFonts w:hint="eastAsia"/>
                <w:color w:val="auto"/>
                <w:szCs w:val="21"/>
              </w:rPr>
              <w:t>.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高等教育</w:t>
            </w:r>
            <w:r>
              <w:rPr>
                <w:rFonts w:hint="eastAsia"/>
                <w:color w:val="auto"/>
                <w:szCs w:val="21"/>
              </w:rPr>
              <w:t>出版社，201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7</w:t>
            </w:r>
            <w:r>
              <w:rPr>
                <w:rFonts w:hint="eastAsia"/>
                <w:color w:val="auto"/>
                <w:szCs w:val="21"/>
              </w:rPr>
              <w:t>年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napToGrid w:val="0"/>
              <w:spacing w:line="400" w:lineRule="exact"/>
              <w:rPr>
                <w:rFonts w:hint="eastAsia" w:ascii="Times New Roman" w:hAnsi="Times New Roman" w:cs="Times New Roman" w:eastAsiaTheme="minorEastAsia"/>
                <w:color w:val="FF0000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1.孙妍</w:t>
            </w:r>
            <w:r>
              <w:rPr>
                <w:rFonts w:hint="eastAsia"/>
                <w:color w:val="auto"/>
                <w:szCs w:val="21"/>
              </w:rPr>
              <w:t>.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水彩人物</w:t>
            </w:r>
            <w:r>
              <w:rPr>
                <w:rFonts w:ascii="Times" w:hAnsi="Times" w:cs="Times"/>
                <w:color w:val="auto"/>
                <w:szCs w:val="21"/>
              </w:rPr>
              <w:t>[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M</w:t>
            </w:r>
            <w:r>
              <w:rPr>
                <w:rFonts w:ascii="Times" w:hAnsi="Times" w:cs="Times"/>
                <w:color w:val="auto"/>
                <w:szCs w:val="21"/>
              </w:rPr>
              <w:t>]</w:t>
            </w:r>
            <w:r>
              <w:rPr>
                <w:rFonts w:hint="eastAsia"/>
                <w:color w:val="auto"/>
                <w:szCs w:val="21"/>
              </w:rPr>
              <w:t>.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西南大学</w:t>
            </w:r>
            <w:r>
              <w:rPr>
                <w:rFonts w:hint="eastAsia"/>
                <w:color w:val="auto"/>
                <w:szCs w:val="21"/>
              </w:rPr>
              <w:t>出版社，20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22</w:t>
            </w:r>
            <w:r>
              <w:rPr>
                <w:rFonts w:hint="eastAsia"/>
                <w:color w:val="auto"/>
                <w:szCs w:val="21"/>
              </w:rPr>
              <w:t>年</w:t>
            </w:r>
            <w:r>
              <w:rPr>
                <w:rFonts w:hint="eastAsia"/>
                <w:color w:val="auto"/>
                <w:szCs w:val="21"/>
                <w:lang w:eastAsia="zh-CN"/>
              </w:rPr>
              <w:t>。</w:t>
            </w:r>
            <w:r>
              <w:rPr>
                <w:rFonts w:hint="eastAsia" w:hAnsi="宋体" w:cs="Times New Roman"/>
                <w:color w:val="auto"/>
                <w:kern w:val="2"/>
                <w:sz w:val="21"/>
                <w:szCs w:val="24"/>
                <w:lang w:val="en-US" w:eastAsia="zh-CN"/>
              </w:rPr>
              <w:t>2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.许海刚</w:t>
            </w:r>
            <w:r>
              <w:rPr>
                <w:rFonts w:hint="eastAsia" w:ascii="Times" w:hAnsi="Times" w:cs="Times"/>
                <w:color w:val="auto"/>
                <w:szCs w:val="21"/>
              </w:rPr>
              <w:t>.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水彩人物画创作语言研究《亮宝节上的人们》原创手记</w:t>
            </w:r>
            <w:r>
              <w:rPr>
                <w:rFonts w:ascii="Times" w:hAnsi="Times" w:cs="Times"/>
                <w:color w:val="auto"/>
                <w:szCs w:val="21"/>
              </w:rPr>
              <w:t>[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M</w:t>
            </w:r>
            <w:r>
              <w:rPr>
                <w:rFonts w:ascii="Times" w:hAnsi="Times" w:cs="Times"/>
                <w:color w:val="auto"/>
                <w:szCs w:val="21"/>
              </w:rPr>
              <w:t>]</w:t>
            </w:r>
            <w:r>
              <w:rPr>
                <w:rFonts w:hint="eastAsia" w:ascii="Times" w:hAnsi="Times" w:cs="Times"/>
                <w:color w:val="auto"/>
                <w:szCs w:val="21"/>
              </w:rPr>
              <w:t xml:space="preserve">. 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湖北美术</w:t>
            </w:r>
            <w:r>
              <w:rPr>
                <w:rFonts w:hint="eastAsia" w:ascii="Times" w:hAnsi="Times" w:cs="Times"/>
                <w:color w:val="auto"/>
                <w:szCs w:val="21"/>
              </w:rPr>
              <w:t>出版社，</w:t>
            </w:r>
            <w:r>
              <w:rPr>
                <w:rFonts w:ascii="Times" w:hAnsi="Times" w:cs="Times"/>
                <w:color w:val="auto"/>
                <w:szCs w:val="21"/>
              </w:rPr>
              <w:t>20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17</w:t>
            </w:r>
            <w:r>
              <w:rPr>
                <w:rFonts w:hint="eastAsia" w:ascii="Times" w:hAnsi="Times" w:cs="Times"/>
                <w:color w:val="auto"/>
                <w:szCs w:val="21"/>
              </w:rPr>
              <w:t>年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。3.</w:t>
            </w:r>
            <w:r>
              <w:rPr>
                <w:rFonts w:hint="eastAsia"/>
                <w:color w:val="auto"/>
              </w:rPr>
              <w:t>蒋跃</w:t>
            </w:r>
            <w:r>
              <w:rPr>
                <w:rFonts w:hint="eastAsia"/>
                <w:color w:val="auto"/>
                <w:lang w:val="en-US" w:eastAsia="zh-CN"/>
              </w:rPr>
              <w:t>.</w:t>
            </w:r>
            <w:r>
              <w:rPr>
                <w:rFonts w:hint="eastAsia"/>
                <w:color w:val="auto"/>
              </w:rPr>
              <w:t>水彩人物画技法解析</w:t>
            </w:r>
            <w:r>
              <w:rPr>
                <w:rFonts w:ascii="Times" w:hAnsi="Times" w:cs="Times"/>
                <w:color w:val="auto"/>
                <w:szCs w:val="21"/>
              </w:rPr>
              <w:t>[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M</w:t>
            </w:r>
            <w:r>
              <w:rPr>
                <w:rFonts w:ascii="Times" w:hAnsi="Times" w:cs="Times"/>
                <w:color w:val="auto"/>
                <w:szCs w:val="21"/>
              </w:rPr>
              <w:t>]</w:t>
            </w:r>
            <w:r>
              <w:rPr>
                <w:rFonts w:hint="eastAsia"/>
                <w:color w:val="auto"/>
              </w:rPr>
              <w:t>.蒋跃.天津杨柳青画社，2016年</w:t>
            </w:r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bookmarkStart w:id="0" w:name="_Hlk20321345"/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1.</w:t>
            </w:r>
            <w:r>
              <w:rPr>
                <w:rFonts w:hint="eastAsia" w:ascii="Times" w:hAnsi="Times" w:cs="Times"/>
                <w:color w:val="auto"/>
                <w:szCs w:val="21"/>
              </w:rPr>
              <w:t>市、区、校各级美术馆</w:t>
            </w:r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艺术机构、国内八大美术院校优秀作品推广；</w:t>
            </w:r>
            <w:r>
              <w:rPr>
                <w:rFonts w:hint="eastAsia" w:ascii="Times" w:hAnsi="Times" w:cs="Times"/>
                <w:color w:val="auto"/>
                <w:szCs w:val="21"/>
              </w:rPr>
              <w:t>精品在线开放课程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线上水彩课程</w:t>
            </w:r>
            <w:r>
              <w:rPr>
                <w:rFonts w:hint="eastAsia" w:ascii="Times" w:hAnsi="Times" w:cs="Times"/>
                <w:color w:val="auto"/>
                <w:szCs w:val="21"/>
              </w:rPr>
              <w:t>学习</w:t>
            </w:r>
            <w:r>
              <w:rPr>
                <w:rFonts w:hint="eastAsia" w:hAnsi="宋体" w:cs="Times"/>
                <w:color w:val="auto"/>
                <w:szCs w:val="21"/>
              </w:rPr>
              <w:t>（</w:t>
            </w:r>
            <w:r>
              <w:rPr>
                <w:rFonts w:hint="eastAsia" w:hAnsi="宋体" w:cs="仿宋"/>
                <w:color w:val="auto"/>
              </w:rPr>
              <w:t>爱课程(中国大学MOOC)</w:t>
            </w:r>
            <w:r>
              <w:rPr>
                <w:rFonts w:hint="eastAsia" w:hAnsi="宋体" w:cs="Times"/>
                <w:color w:val="auto"/>
                <w:szCs w:val="21"/>
              </w:rPr>
              <w:t>，</w:t>
            </w:r>
            <w:r>
              <w:rPr>
                <w:rFonts w:hint="eastAsia" w:hAnsi="宋体" w:cs="仿宋"/>
                <w:color w:val="auto"/>
              </w:rPr>
              <w:t>智慧树、学堂在线</w:t>
            </w:r>
            <w:r>
              <w:rPr>
                <w:rFonts w:hint="eastAsia" w:hAnsi="宋体" w:cs="Times"/>
                <w:color w:val="auto"/>
                <w:szCs w:val="21"/>
              </w:rPr>
              <w:t>）。</w:t>
            </w:r>
            <w:r>
              <w:rPr>
                <w:rFonts w:hint="eastAsia" w:hAnsi="宋体" w:cs="Times"/>
                <w:color w:val="auto"/>
                <w:szCs w:val="21"/>
                <w:lang w:val="en-US" w:eastAsia="zh-CN"/>
              </w:rPr>
              <w:t>2.</w:t>
            </w:r>
            <w:r>
              <w:rPr>
                <w:rFonts w:hint="eastAsia" w:ascii="Times" w:hAnsi="Times" w:cs="Times"/>
                <w:color w:val="auto"/>
                <w:szCs w:val="21"/>
              </w:rPr>
              <w:t>图书馆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借阅素描</w:t>
            </w:r>
            <w:r>
              <w:rPr>
                <w:rFonts w:hint="eastAsia" w:ascii="Times" w:hAnsi="Times" w:cs="Times"/>
                <w:color w:val="auto"/>
                <w:szCs w:val="21"/>
              </w:rPr>
              <w:t>课程相关书籍、画册</w:t>
            </w:r>
            <w:bookmarkEnd w:id="0"/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791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napToGrid w:val="0"/>
              <w:spacing w:line="400" w:lineRule="exact"/>
              <w:ind w:firstLine="420" w:firstLineChars="200"/>
              <w:rPr>
                <w:rFonts w:ascii="Times New Roman" w:hAnsi="Times New Roman" w:cs="Times New Roman"/>
                <w:color w:val="FF0000"/>
                <w:szCs w:val="21"/>
              </w:rPr>
            </w:pPr>
            <w:bookmarkStart w:id="1" w:name="_Hlk22820022"/>
            <w:r>
              <w:rPr>
                <w:rFonts w:hint="eastAsia" w:ascii="Times" w:hAnsi="Times" w:cs="Times"/>
                <w:color w:val="auto"/>
                <w:szCs w:val="21"/>
              </w:rPr>
              <w:t>水彩画（人物）</w:t>
            </w:r>
            <w:bookmarkEnd w:id="1"/>
            <w:r>
              <w:rPr>
                <w:rFonts w:hint="eastAsia" w:ascii="Times" w:hAnsi="Times" w:cs="Times"/>
                <w:color w:val="auto"/>
                <w:szCs w:val="21"/>
              </w:rPr>
              <w:t>课程是</w:t>
            </w:r>
            <w:r>
              <w:rPr>
                <w:rFonts w:hint="eastAsia"/>
                <w:color w:val="auto"/>
                <w:szCs w:val="21"/>
              </w:rPr>
              <w:t>高等院校</w:t>
            </w:r>
            <w:r>
              <w:rPr>
                <w:rFonts w:hint="eastAsia" w:ascii="Times" w:hAnsi="Times" w:cs="Times"/>
                <w:color w:val="auto"/>
                <w:szCs w:val="21"/>
              </w:rPr>
              <w:t>美术学</w:t>
            </w:r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（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师范</w:t>
            </w:r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）</w:t>
            </w:r>
            <w:r>
              <w:rPr>
                <w:rFonts w:hint="eastAsia" w:ascii="Times" w:hAnsi="Times" w:cs="Times"/>
                <w:color w:val="auto"/>
                <w:szCs w:val="21"/>
              </w:rPr>
              <w:t>水彩画方向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必修</w:t>
            </w:r>
            <w:r>
              <w:rPr>
                <w:rFonts w:hint="eastAsia" w:ascii="Times" w:hAnsi="Times" w:cs="Times"/>
                <w:color w:val="auto"/>
                <w:szCs w:val="21"/>
              </w:rPr>
              <w:t>的一门专业拓展课程</w:t>
            </w:r>
            <w:r>
              <w:rPr>
                <w:rFonts w:hint="eastAsia" w:ascii="Times" w:hAnsi="Times" w:cs="Times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Times" w:hAnsi="Times" w:cs="Times"/>
                <w:color w:val="auto"/>
                <w:szCs w:val="21"/>
              </w:rPr>
              <w:t>本课程通过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这门课程的学习，系统</w:t>
            </w:r>
            <w:r>
              <w:rPr>
                <w:rFonts w:hint="eastAsia" w:ascii="Times" w:hAnsi="Times" w:cs="Times"/>
                <w:color w:val="auto"/>
                <w:szCs w:val="21"/>
              </w:rPr>
              <w:t>讲授水彩人物画的理论</w:t>
            </w:r>
            <w:r>
              <w:rPr>
                <w:rFonts w:ascii="Times" w:hAnsi="Times" w:cs="Times"/>
                <w:color w:val="auto"/>
                <w:szCs w:val="21"/>
              </w:rPr>
              <w:t>知识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和表现技巧，结合课堂</w:t>
            </w:r>
            <w:r>
              <w:rPr>
                <w:rFonts w:hint="eastAsia" w:ascii="Times" w:hAnsi="Times" w:cs="Times"/>
                <w:color w:val="auto"/>
                <w:szCs w:val="21"/>
              </w:rPr>
              <w:t>写生实践掌握水彩人物画的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形象塑造</w:t>
            </w:r>
            <w:r>
              <w:rPr>
                <w:rFonts w:hint="eastAsia" w:ascii="Times" w:hAnsi="Times" w:cs="Times"/>
                <w:color w:val="auto"/>
                <w:szCs w:val="21"/>
              </w:rPr>
              <w:t>，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提升学生对人物画的审美认知，</w:t>
            </w:r>
            <w:r>
              <w:rPr>
                <w:rFonts w:hint="eastAsia" w:ascii="Times" w:hAnsi="Times" w:cs="Times"/>
                <w:color w:val="auto"/>
                <w:szCs w:val="21"/>
              </w:rPr>
              <w:t>学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会</w:t>
            </w:r>
            <w:r>
              <w:rPr>
                <w:rFonts w:hint="eastAsia" w:ascii="Times" w:hAnsi="Times" w:cs="Times"/>
                <w:color w:val="auto"/>
                <w:szCs w:val="21"/>
              </w:rPr>
              <w:t>由浅入深、由繁入简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准确表达</w:t>
            </w:r>
            <w:r>
              <w:rPr>
                <w:rFonts w:hint="eastAsia" w:ascii="Times" w:hAnsi="Times" w:cs="Times"/>
                <w:color w:val="auto"/>
                <w:szCs w:val="21"/>
              </w:rPr>
              <w:t>人物</w:t>
            </w:r>
            <w:r>
              <w:rPr>
                <w:rFonts w:hint="eastAsia" w:ascii="Times" w:hAnsi="Times" w:cs="Times"/>
                <w:color w:val="auto"/>
                <w:szCs w:val="21"/>
                <w:lang w:val="en-US" w:eastAsia="zh-CN"/>
              </w:rPr>
              <w:t>的内在精气神；培养学生的观察能力和具备分析、解决问题的能力，提升实践动手能力，为后续的学习打下坚实的基础</w:t>
            </w:r>
            <w:r>
              <w:rPr>
                <w:rFonts w:hint="eastAsia" w:ascii="Times" w:hAnsi="Times" w:cs="Times"/>
                <w:color w:val="auto"/>
                <w:szCs w:val="21"/>
              </w:rPr>
              <w:t>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二、课程目标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表1  课程目标</w:t>
      </w:r>
    </w:p>
    <w:tbl>
      <w:tblPr>
        <w:tblStyle w:val="11"/>
        <w:tblW w:w="499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90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掌握水彩画（人物）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的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相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关理论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知识学习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提升作品鉴赏和审美识读能力；建立良好的审美素养，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促进学生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形成正确的人生观和价值观，表现生活中的人性之美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。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感受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当代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水彩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艺术多元化的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审美形式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以及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审美内涵，</w:t>
            </w:r>
            <w:r>
              <w:rPr>
                <w:rFonts w:hint="eastAsia" w:hAnsi="宋体"/>
                <w:sz w:val="21"/>
                <w:szCs w:val="24"/>
              </w:rPr>
              <w:t>结合思政元素理解中国</w:t>
            </w:r>
            <w:r>
              <w:rPr>
                <w:rFonts w:hint="eastAsia" w:hAnsi="宋体"/>
                <w:sz w:val="21"/>
                <w:szCs w:val="24"/>
                <w:lang w:val="en-US" w:eastAsia="zh-CN"/>
              </w:rPr>
              <w:t>艺术教育</w:t>
            </w:r>
            <w:r>
              <w:rPr>
                <w:rFonts w:hint="eastAsia" w:hAnsi="宋体"/>
                <w:sz w:val="21"/>
                <w:szCs w:val="24"/>
              </w:rPr>
              <w:t>中的</w:t>
            </w:r>
            <w:r>
              <w:rPr>
                <w:rFonts w:hint="eastAsia" w:hAnsi="宋体"/>
                <w:sz w:val="21"/>
                <w:szCs w:val="24"/>
                <w:lang w:val="en-US" w:eastAsia="zh-CN"/>
              </w:rPr>
              <w:t>文化</w:t>
            </w:r>
            <w:r>
              <w:rPr>
                <w:rFonts w:hint="eastAsia" w:hAnsi="宋体"/>
                <w:sz w:val="21"/>
                <w:szCs w:val="24"/>
              </w:rPr>
              <w:t>传统，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促进学生对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水彩人物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绘画的传承与热爱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提升艺术审美和创造表现能力。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【毕业要求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师德规范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】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课程目标2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掌握水彩人物画的构图与透视、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人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物比例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人物色彩变化规律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学会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在特定光线条件下所呈现出的明暗体积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与质感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的变化，拓展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水彩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造型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语言的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表达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创新。具备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人物色彩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表现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敏锐的观察力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深入刻画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能力，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感受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当代水彩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人物画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多元化的艺术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形式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以及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审美内涵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【毕业要求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3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学科素养】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在学习过程中学会教学设计和语言表达，学会掌握现代课堂多媒体和新媒体技术的课堂运用，能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运用所学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知识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分析与评价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与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美术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相关的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教学活动，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探索未来教师应具备的教学基本技能，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为培养高素质、全面型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的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师范生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打下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扎实基础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通过教师课堂教学示范，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优化教学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理念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，养成认真、求实、勤奋钻研的精神与学风。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【毕业要求4教学能力】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</w:trPr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课程目标4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掌握水彩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人物画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的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表现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</w:rPr>
              <w:t>技能，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学会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知识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的拓展和反思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在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不断进行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沟通合作学习中完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善，形成终身学习的意识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eastAsia="zh-CN"/>
              </w:rPr>
              <w:t>。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课堂教学过程中的分组写生、分组讨论和创作实践，培养团队成员间的沟通与合作能力。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【毕业要求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8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沟通合作】</w:t>
            </w:r>
          </w:p>
        </w:tc>
      </w:tr>
    </w:tbl>
    <w:p>
      <w:pPr>
        <w:pStyle w:val="21"/>
        <w:spacing w:line="320" w:lineRule="exact"/>
        <w:ind w:left="420" w:firstLine="422"/>
        <w:jc w:val="center"/>
        <w:rPr>
          <w:rFonts w:ascii="Times New Roman" w:hAnsi="Times New Roman" w:cs="Times New Roman"/>
          <w:b/>
          <w:szCs w:val="21"/>
        </w:rPr>
      </w:pPr>
    </w:p>
    <w:p>
      <w:pPr>
        <w:pStyle w:val="21"/>
        <w:spacing w:line="320" w:lineRule="exact"/>
        <w:ind w:left="420" w:firstLine="422"/>
        <w:jc w:val="center"/>
        <w:rPr>
          <w:rFonts w:ascii="Times New Roman" w:hAnsi="Times New Roman" w:cs="Times New Roman"/>
          <w:b/>
          <w:color w:val="auto"/>
          <w:szCs w:val="21"/>
        </w:rPr>
      </w:pPr>
      <w:r>
        <w:rPr>
          <w:rFonts w:ascii="Times New Roman" w:hAnsi="Times New Roman" w:cs="Times New Roman"/>
          <w:b/>
          <w:szCs w:val="21"/>
        </w:rPr>
        <w:t>表2</w:t>
      </w:r>
      <w:r>
        <w:rPr>
          <w:rFonts w:hint="eastAsia" w:ascii="Times New Roman" w:hAnsi="Times New Roman" w:cs="Times New Roman"/>
          <w:b/>
          <w:szCs w:val="21"/>
        </w:rPr>
        <w:t xml:space="preserve"> </w:t>
      </w:r>
      <w:r>
        <w:rPr>
          <w:rFonts w:ascii="Times New Roman" w:hAnsi="Times New Roman" w:cs="Times New Roman"/>
          <w:b/>
          <w:szCs w:val="21"/>
        </w:rPr>
        <w:t>课程目标与毕业要求对应关系</w:t>
      </w:r>
      <w:r>
        <w:rPr>
          <w:rFonts w:ascii="Times New Roman" w:hAnsi="Times New Roman" w:cs="Times New Roman"/>
          <w:b/>
          <w:color w:val="auto"/>
          <w:szCs w:val="21"/>
        </w:rPr>
        <w:t>（适用于</w:t>
      </w:r>
      <w:r>
        <w:rPr>
          <w:rFonts w:hint="eastAsia" w:ascii="Times New Roman" w:hAnsi="Times New Roman" w:cs="Times New Roman"/>
          <w:b/>
          <w:color w:val="auto"/>
          <w:szCs w:val="21"/>
          <w:lang w:val="en-US" w:eastAsia="zh-CN"/>
        </w:rPr>
        <w:t>美术学</w:t>
      </w:r>
      <w:r>
        <w:rPr>
          <w:rFonts w:ascii="Times New Roman" w:hAnsi="Times New Roman" w:cs="Times New Roman"/>
          <w:b/>
          <w:color w:val="auto"/>
          <w:szCs w:val="21"/>
        </w:rPr>
        <w:t>专业（含技能课）教育课程）</w:t>
      </w:r>
    </w:p>
    <w:p>
      <w:pPr>
        <w:pStyle w:val="21"/>
        <w:spacing w:line="320" w:lineRule="exact"/>
        <w:ind w:left="420" w:firstLine="422"/>
        <w:jc w:val="center"/>
        <w:rPr>
          <w:rFonts w:ascii="Times New Roman" w:hAnsi="Times New Roman" w:cs="Times New Roman"/>
          <w:b/>
          <w:color w:val="auto"/>
          <w:szCs w:val="21"/>
        </w:rPr>
      </w:pPr>
    </w:p>
    <w:tbl>
      <w:tblPr>
        <w:tblStyle w:val="10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7012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8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3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  <w:r>
              <w:rPr>
                <w:rFonts w:ascii="Times New Roman" w:hAnsi="Times New Roman" w:cs="Times New Roman"/>
                <w:color w:val="auto"/>
                <w:szCs w:val="21"/>
              </w:rPr>
              <w:t>（人才培养方案中指标点分解）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81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毕业要求1：</w:t>
            </w:r>
            <w:r>
              <w:rPr>
                <w:rFonts w:hint="eastAsia" w:ascii="Times New Roman" w:hAnsi="Times New Roman" w:cs="Times New Roman"/>
                <w:b w:val="0"/>
                <w:bCs/>
                <w:color w:val="000000"/>
                <w:szCs w:val="21"/>
                <w:lang w:val="en-US" w:eastAsia="zh-CN"/>
              </w:rPr>
              <w:t>师德规范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L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3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1.1 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综合</w:t>
            </w:r>
            <w:r>
              <w:rPr>
                <w:rFonts w:cs="Times New Roman"/>
                <w:color w:val="auto"/>
                <w:sz w:val="21"/>
                <w:szCs w:val="20"/>
              </w:rPr>
              <w:t>艺术学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、</w:t>
            </w:r>
            <w:r>
              <w:rPr>
                <w:rFonts w:cs="Times New Roman"/>
                <w:color w:val="auto"/>
                <w:sz w:val="21"/>
                <w:szCs w:val="20"/>
              </w:rPr>
              <w:t>美学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、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教育学</w:t>
            </w:r>
            <w:r>
              <w:rPr>
                <w:rFonts w:cs="Times New Roman"/>
                <w:color w:val="auto"/>
                <w:sz w:val="21"/>
                <w:szCs w:val="20"/>
              </w:rPr>
              <w:t>等相关知识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指导风景画理论学习</w:t>
            </w:r>
            <w:r>
              <w:rPr>
                <w:rFonts w:cs="Times New Roman"/>
                <w:color w:val="auto"/>
                <w:sz w:val="21"/>
                <w:szCs w:val="20"/>
              </w:rPr>
              <w:t>，具备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全面的人文素养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；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1.2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熟悉学科知识体系，</w:t>
            </w:r>
            <w:r>
              <w:rPr>
                <w:rFonts w:cs="Times New Roman"/>
                <w:color w:val="auto"/>
                <w:sz w:val="21"/>
                <w:szCs w:val="20"/>
              </w:rPr>
              <w:t>掌握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水彩人物画</w:t>
            </w:r>
            <w:r>
              <w:rPr>
                <w:rFonts w:hint="eastAsia"/>
                <w:color w:val="auto"/>
                <w:sz w:val="21"/>
                <w:szCs w:val="21"/>
              </w:rPr>
              <w:t>学科的相关专业基础知识与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基本技巧；1.3借助审美感知、艺术表现、创新能力、文化理解等学科思想与方法，理解了解水彩风景画的学科发展趋势，形成正确的学科审美观。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81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毕业要求2：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学科素养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【M】</w:t>
            </w:r>
          </w:p>
        </w:tc>
        <w:tc>
          <w:tcPr>
            <w:tcW w:w="3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 xml:space="preserve">2.1 </w:t>
            </w:r>
            <w:r>
              <w:rPr>
                <w:rFonts w:cs="Times New Roman"/>
                <w:color w:val="auto"/>
                <w:sz w:val="21"/>
                <w:szCs w:val="20"/>
              </w:rPr>
              <w:t>具备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作品解读能力，形成独立的审美判断；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2.2</w:t>
            </w:r>
            <w:r>
              <w:rPr>
                <w:rFonts w:hint="eastAsia"/>
                <w:color w:val="auto"/>
                <w:sz w:val="21"/>
                <w:szCs w:val="21"/>
              </w:rPr>
              <w:t>研究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水彩人物画的表现技巧，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掌握人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物构图、解剖与透视、色调、肌理质感的表现，完成写生与</w:t>
            </w:r>
            <w:r>
              <w:rPr>
                <w:rFonts w:hint="eastAsia"/>
                <w:color w:val="auto"/>
                <w:sz w:val="21"/>
                <w:szCs w:val="21"/>
              </w:rPr>
              <w:t>绘画创作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的语言转化艺术表达；2.3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掌握</w:t>
            </w:r>
            <w:r>
              <w:rPr>
                <w:rFonts w:cs="Times New Roman"/>
                <w:color w:val="auto"/>
                <w:sz w:val="21"/>
                <w:szCs w:val="20"/>
              </w:rPr>
              <w:t>文献查阅与交流学习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能力</w:t>
            </w:r>
            <w:r>
              <w:rPr>
                <w:rFonts w:cs="Times New Roman"/>
                <w:color w:val="auto"/>
                <w:sz w:val="21"/>
                <w:szCs w:val="20"/>
              </w:rPr>
              <w:t>，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了解水彩人物画</w:t>
            </w:r>
            <w:r>
              <w:rPr>
                <w:rFonts w:cs="Times New Roman"/>
                <w:color w:val="auto"/>
                <w:sz w:val="21"/>
                <w:szCs w:val="20"/>
              </w:rPr>
              <w:t>学科领域的理论前沿、最新动态与前景需求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。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课程目标2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81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毕业要求3：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教学能力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L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3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 xml:space="preserve">3.1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分组讨论、作业互评获得教学体验，掌握初步的教学能力</w:t>
            </w:r>
            <w:r>
              <w:rPr>
                <w:rFonts w:hint="eastAsia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3.2具备与相关人文学科的知识迁移和综合运用能力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，</w:t>
            </w:r>
            <w:r>
              <w:rPr>
                <w:rFonts w:cs="Times New Roman"/>
                <w:color w:val="auto"/>
                <w:sz w:val="21"/>
                <w:szCs w:val="20"/>
              </w:rPr>
              <w:t>形成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教师专业发展与</w:t>
            </w:r>
            <w:r>
              <w:rPr>
                <w:rFonts w:cs="Times New Roman"/>
                <w:color w:val="auto"/>
                <w:sz w:val="21"/>
                <w:szCs w:val="20"/>
              </w:rPr>
              <w:t>终身学习理念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；3.3具备</w:t>
            </w:r>
            <w:r>
              <w:rPr>
                <w:rFonts w:cs="Times New Roman"/>
                <w:color w:val="auto"/>
                <w:sz w:val="21"/>
                <w:szCs w:val="20"/>
              </w:rPr>
              <w:t>情境学习、探究学习、问题解决学习等多种学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习</w:t>
            </w:r>
            <w:r>
              <w:rPr>
                <w:rFonts w:cs="Times New Roman"/>
                <w:color w:val="auto"/>
                <w:sz w:val="21"/>
                <w:szCs w:val="20"/>
              </w:rPr>
              <w:t>策略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。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课程目标3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810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cs="Times New Roman"/>
                <w:color w:val="548DD4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  <w:r>
              <w:rPr>
                <w:rFonts w:hint="eastAsia" w:ascii="Times New Roman" w:hAnsi="Times New Roman" w:cs="Times New Roman"/>
                <w:b/>
                <w:color w:val="000000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沟通合作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【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L</w:t>
            </w:r>
            <w:r>
              <w:rPr>
                <w:rFonts w:ascii="Times New Roman" w:hAnsi="Times New Roman" w:cs="Times New Roman"/>
                <w:color w:val="000000"/>
                <w:szCs w:val="21"/>
              </w:rPr>
              <w:t>】</w:t>
            </w:r>
          </w:p>
        </w:tc>
        <w:tc>
          <w:tcPr>
            <w:tcW w:w="37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4.1</w:t>
            </w:r>
            <w:r>
              <w:rPr>
                <w:rFonts w:cs="Times New Roman"/>
                <w:color w:val="auto"/>
                <w:sz w:val="21"/>
                <w:szCs w:val="20"/>
              </w:rPr>
              <w:t>能够在实践过程中不断进行信息收集、自我诊断、自我改进与自我完善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，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增强</w:t>
            </w:r>
            <w:r>
              <w:rPr>
                <w:rFonts w:cs="Times New Roman"/>
                <w:color w:val="auto"/>
                <w:sz w:val="21"/>
                <w:szCs w:val="20"/>
              </w:rPr>
              <w:t>学习与交流的能力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；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4.2掌握团队成员之间的有效沟通和合作方法，分组写生、分组讨论和创作实践，培养学生间的沟通与合作能力；4.3通过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勾通合作促进教育教学活动，在小组互动中体现团队合作精神。</w:t>
            </w:r>
          </w:p>
        </w:tc>
        <w:tc>
          <w:tcPr>
            <w:tcW w:w="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课程目标4</w:t>
            </w:r>
          </w:p>
        </w:tc>
      </w:tr>
    </w:tbl>
    <w:p>
      <w:pPr>
        <w:rPr>
          <w:rFonts w:ascii="Times New Roman" w:hAnsi="Times New Roman" w:cs="Times New Roman"/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>
      <w:pPr>
        <w:pStyle w:val="4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t>三、课程教学内容与方法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表3课程目标、教学内容和方法对应关系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2094"/>
        <w:gridCol w:w="1558"/>
        <w:gridCol w:w="5038"/>
        <w:gridCol w:w="750"/>
        <w:gridCol w:w="1075"/>
        <w:gridCol w:w="690"/>
        <w:gridCol w:w="725"/>
        <w:gridCol w:w="1060"/>
        <w:gridCol w:w="6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9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55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项目来源</w:t>
            </w:r>
          </w:p>
        </w:tc>
        <w:tc>
          <w:tcPr>
            <w:tcW w:w="503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教学目标（观测点、重难点）</w:t>
            </w:r>
          </w:p>
        </w:tc>
        <w:tc>
          <w:tcPr>
            <w:tcW w:w="75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学时数</w:t>
            </w:r>
          </w:p>
        </w:tc>
        <w:tc>
          <w:tcPr>
            <w:tcW w:w="107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</w:tc>
        <w:tc>
          <w:tcPr>
            <w:tcW w:w="69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72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每组人数</w:t>
            </w:r>
          </w:p>
        </w:tc>
        <w:tc>
          <w:tcPr>
            <w:tcW w:w="106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教学方法</w:t>
            </w:r>
          </w:p>
        </w:tc>
        <w:tc>
          <w:tcPr>
            <w:tcW w:w="67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 w:bidi="en-US"/>
              </w:rPr>
              <w:t>水彩画（人物）概述与技法理论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绘画理论</w:t>
            </w:r>
          </w:p>
        </w:tc>
        <w:tc>
          <w:tcPr>
            <w:tcW w:w="503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水彩画人物</w:t>
            </w:r>
            <w:r>
              <w:rPr>
                <w:rFonts w:hAnsi="宋体" w:cs="Times New Roman"/>
                <w:color w:val="auto"/>
                <w:szCs w:val="20"/>
              </w:rPr>
              <w:t>的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概述及发展</w:t>
            </w:r>
            <w:r>
              <w:rPr>
                <w:rFonts w:hAnsi="宋体" w:cs="Times New Roman"/>
                <w:color w:val="auto"/>
                <w:szCs w:val="20"/>
              </w:rPr>
              <w:t>历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程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，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作品解析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理解新时代社会主义文化价值观，弘扬中华传统艺术，理解大学生日常劳动的涵义，设计劳动教育方案并实施劳动。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（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观测点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）</w:t>
            </w:r>
          </w:p>
        </w:tc>
        <w:tc>
          <w:tcPr>
            <w:tcW w:w="75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07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必做</w:t>
            </w:r>
          </w:p>
        </w:tc>
        <w:tc>
          <w:tcPr>
            <w:tcW w:w="72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5-7</w:t>
            </w:r>
          </w:p>
        </w:tc>
        <w:tc>
          <w:tcPr>
            <w:tcW w:w="106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讲授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法；讨论法；</w:t>
            </w:r>
            <w:r>
              <w:rPr>
                <w:rFonts w:ascii="Times New Roman" w:hAnsi="Times New Roman" w:eastAsia="宋体" w:cs="Times New Roman"/>
                <w:szCs w:val="21"/>
              </w:rPr>
              <w:t>查阅文献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法；</w:t>
            </w:r>
          </w:p>
        </w:tc>
        <w:tc>
          <w:tcPr>
            <w:tcW w:w="679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课程目标1、2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0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3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Times New Roman"/>
                <w:color w:val="auto"/>
                <w:szCs w:val="20"/>
              </w:rPr>
              <w:t>水彩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人物</w:t>
            </w:r>
            <w:r>
              <w:rPr>
                <w:rFonts w:hint="eastAsia" w:hAnsi="宋体" w:cs="Times New Roman"/>
                <w:color w:val="auto"/>
                <w:szCs w:val="20"/>
              </w:rPr>
              <w:t>画</w:t>
            </w:r>
            <w:r>
              <w:rPr>
                <w:rFonts w:hAnsi="宋体" w:cs="Times New Roman"/>
                <w:color w:val="auto"/>
                <w:szCs w:val="20"/>
              </w:rPr>
              <w:t>审美内涵认知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，</w:t>
            </w:r>
            <w:r>
              <w:rPr>
                <w:rFonts w:hint="eastAsia"/>
                <w:color w:val="auto"/>
                <w:szCs w:val="21"/>
              </w:rPr>
              <w:t>水彩画（人物）在</w:t>
            </w:r>
            <w:r>
              <w:rPr>
                <w:color w:val="auto"/>
                <w:szCs w:val="21"/>
              </w:rPr>
              <w:t>专业</w:t>
            </w:r>
            <w:r>
              <w:rPr>
                <w:rFonts w:hint="eastAsia"/>
                <w:color w:val="auto"/>
                <w:szCs w:val="21"/>
              </w:rPr>
              <w:t>学习中的意义</w:t>
            </w:r>
            <w:r>
              <w:rPr>
                <w:rFonts w:hint="eastAsia"/>
                <w:color w:val="auto"/>
                <w:szCs w:val="21"/>
                <w:lang w:eastAsia="zh-CN"/>
              </w:rPr>
              <w:t>。</w:t>
            </w:r>
          </w:p>
        </w:tc>
        <w:tc>
          <w:tcPr>
            <w:tcW w:w="75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106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50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38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掌握水彩人物画的技法和艺术表现规律</w:t>
            </w:r>
            <w:r>
              <w:rPr>
                <w:rFonts w:cs="Times New Roman"/>
                <w:color w:val="auto"/>
                <w:sz w:val="21"/>
                <w:szCs w:val="20"/>
              </w:rPr>
              <w:t>，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具备初步的水彩画（人物）学习和研究能力（重点）</w:t>
            </w:r>
          </w:p>
        </w:tc>
        <w:tc>
          <w:tcPr>
            <w:tcW w:w="75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106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0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auto"/>
                <w:spacing w:val="-10"/>
                <w:szCs w:val="21"/>
              </w:rPr>
              <w:t>水彩</w:t>
            </w:r>
            <w:r>
              <w:rPr>
                <w:rFonts w:hint="eastAsia"/>
                <w:bCs/>
                <w:color w:val="auto"/>
                <w:spacing w:val="-10"/>
                <w:szCs w:val="21"/>
                <w:lang w:val="en-US" w:eastAsia="zh-CN"/>
              </w:rPr>
              <w:t>画（</w:t>
            </w:r>
            <w:r>
              <w:rPr>
                <w:rFonts w:hint="eastAsia"/>
                <w:bCs/>
                <w:color w:val="auto"/>
                <w:spacing w:val="-10"/>
                <w:szCs w:val="21"/>
              </w:rPr>
              <w:t>人物</w:t>
            </w:r>
            <w:r>
              <w:rPr>
                <w:rFonts w:hint="eastAsia"/>
                <w:bCs/>
                <w:color w:val="auto"/>
                <w:spacing w:val="-10"/>
                <w:szCs w:val="21"/>
                <w:lang w:val="en-US" w:eastAsia="zh-CN"/>
              </w:rPr>
              <w:t>）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基本技法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写生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训练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绘画实践</w:t>
            </w:r>
          </w:p>
        </w:tc>
        <w:tc>
          <w:tcPr>
            <w:tcW w:w="5038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/>
                <w:color w:val="auto"/>
                <w:szCs w:val="21"/>
              </w:rPr>
              <w:t>水彩人物画的构图与结构、体面分析</w:t>
            </w:r>
            <w:r>
              <w:rPr>
                <w:rFonts w:hint="eastAsia" w:cs="Arial"/>
                <w:color w:val="auto"/>
                <w:szCs w:val="21"/>
                <w:lang w:eastAsia="zh-CN"/>
              </w:rPr>
              <w:t>，</w:t>
            </w:r>
            <w:r>
              <w:rPr>
                <w:rFonts w:hint="eastAsia" w:cs="Arial"/>
                <w:color w:val="auto"/>
                <w:szCs w:val="21"/>
                <w:lang w:val="en-US" w:eastAsia="zh-CN"/>
              </w:rPr>
              <w:t>水彩</w:t>
            </w:r>
            <w:r>
              <w:rPr>
                <w:rFonts w:hint="eastAsia" w:hAnsi="宋体" w:cs="Times New Roman"/>
                <w:color w:val="auto"/>
                <w:szCs w:val="20"/>
              </w:rPr>
              <w:t>人物</w:t>
            </w:r>
            <w:r>
              <w:rPr>
                <w:rFonts w:hint="eastAsia" w:cs="Arial"/>
                <w:color w:val="auto"/>
                <w:szCs w:val="21"/>
                <w:lang w:val="en-US" w:eastAsia="zh-CN"/>
              </w:rPr>
              <w:t>画</w:t>
            </w:r>
            <w:r>
              <w:rPr>
                <w:rFonts w:hint="eastAsia"/>
                <w:color w:val="auto"/>
                <w:szCs w:val="21"/>
              </w:rPr>
              <w:t>色调、色彩冷暖变化规律、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塑</w:t>
            </w:r>
            <w:r>
              <w:rPr>
                <w:rFonts w:hint="eastAsia"/>
                <w:color w:val="auto"/>
                <w:szCs w:val="21"/>
              </w:rPr>
              <w:t>造</w:t>
            </w:r>
            <w:r>
              <w:rPr>
                <w:rFonts w:hint="eastAsia"/>
                <w:color w:val="auto"/>
                <w:szCs w:val="21"/>
                <w:lang w:eastAsia="zh-CN"/>
              </w:rPr>
              <w:t>、</w:t>
            </w:r>
            <w:r>
              <w:rPr>
                <w:rFonts w:hint="eastAsia"/>
                <w:color w:val="auto"/>
                <w:szCs w:val="21"/>
              </w:rPr>
              <w:t>空间、肌理等表现。</w:t>
            </w:r>
            <w:r>
              <w:rPr>
                <w:rFonts w:hint="eastAsia"/>
                <w:bCs/>
                <w:color w:val="auto"/>
                <w:szCs w:val="21"/>
                <w:lang w:eastAsia="zh-CN" w:bidi="en-US"/>
              </w:rPr>
              <w:t>（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重、难点</w:t>
            </w:r>
            <w:r>
              <w:rPr>
                <w:rFonts w:hint="eastAsia"/>
                <w:bCs/>
                <w:color w:val="auto"/>
                <w:szCs w:val="21"/>
                <w:lang w:eastAsia="zh-CN" w:bidi="en-US"/>
              </w:rPr>
              <w:t>）</w:t>
            </w:r>
          </w:p>
        </w:tc>
        <w:tc>
          <w:tcPr>
            <w:tcW w:w="75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07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必做</w:t>
            </w:r>
          </w:p>
        </w:tc>
        <w:tc>
          <w:tcPr>
            <w:tcW w:w="72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5-7</w:t>
            </w:r>
          </w:p>
        </w:tc>
        <w:tc>
          <w:tcPr>
            <w:tcW w:w="106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ind w:right="-84" w:rightChars="-40"/>
              <w:jc w:val="left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讲授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法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直观演示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法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练习法；</w:t>
            </w:r>
          </w:p>
        </w:tc>
        <w:tc>
          <w:tcPr>
            <w:tcW w:w="679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课程目标2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505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38" w:type="dxa"/>
          </w:tcPr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auto"/>
                <w:spacing w:val="-10"/>
                <w:szCs w:val="21"/>
              </w:rPr>
              <w:t>水彩人物画</w:t>
            </w:r>
            <w:r>
              <w:rPr>
                <w:rFonts w:hint="eastAsia"/>
                <w:color w:val="auto"/>
                <w:szCs w:val="21"/>
              </w:rPr>
              <w:t>作画要求和步骤方法，</w:t>
            </w:r>
            <w:r>
              <w:rPr>
                <w:rFonts w:hint="eastAsia" w:hAnsi="宋体" w:cs="Times New Roman"/>
                <w:color w:val="auto"/>
                <w:szCs w:val="20"/>
              </w:rPr>
              <w:t>技法</w:t>
            </w:r>
            <w:r>
              <w:rPr>
                <w:rFonts w:hAnsi="宋体" w:cs="Times New Roman"/>
                <w:color w:val="auto"/>
                <w:szCs w:val="20"/>
              </w:rPr>
              <w:t>讲解及</w:t>
            </w:r>
            <w:r>
              <w:rPr>
                <w:rFonts w:hint="eastAsia" w:hAnsi="宋体" w:cs="Times New Roman"/>
                <w:color w:val="auto"/>
                <w:szCs w:val="20"/>
              </w:rPr>
              <w:t>示范</w:t>
            </w:r>
            <w:r>
              <w:rPr>
                <w:rFonts w:hAnsi="宋体" w:cs="Times New Roman"/>
                <w:color w:val="auto"/>
                <w:szCs w:val="20"/>
              </w:rPr>
              <w:t>演示</w:t>
            </w:r>
            <w:r>
              <w:rPr>
                <w:rFonts w:hint="eastAsia" w:hAnsi="宋体" w:cs="Times New Roman"/>
                <w:color w:val="auto"/>
                <w:szCs w:val="20"/>
              </w:rPr>
              <w:t>；</w:t>
            </w:r>
            <w:r>
              <w:rPr>
                <w:rFonts w:hint="eastAsia"/>
                <w:color w:val="auto"/>
                <w:szCs w:val="21"/>
              </w:rPr>
              <w:t xml:space="preserve"> </w:t>
            </w:r>
            <w:r>
              <w:rPr>
                <w:rFonts w:hint="eastAsia"/>
                <w:bCs/>
                <w:color w:val="auto"/>
                <w:spacing w:val="-10"/>
                <w:szCs w:val="21"/>
              </w:rPr>
              <w:t>水彩人物画（男性）</w:t>
            </w:r>
            <w:r>
              <w:rPr>
                <w:rFonts w:hint="eastAsia"/>
                <w:bCs/>
                <w:color w:val="auto"/>
                <w:spacing w:val="-10"/>
                <w:szCs w:val="21"/>
                <w:lang w:val="en-US" w:eastAsia="zh-CN"/>
              </w:rPr>
              <w:t>的特征表现与</w:t>
            </w:r>
            <w:r>
              <w:rPr>
                <w:rFonts w:hAnsi="宋体" w:cs="Times New Roman"/>
                <w:color w:val="auto"/>
                <w:szCs w:val="20"/>
              </w:rPr>
              <w:t>技法要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领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。</w:t>
            </w:r>
          </w:p>
        </w:tc>
        <w:tc>
          <w:tcPr>
            <w:tcW w:w="750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5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25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1060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679" w:type="dxa"/>
            <w:vMerge w:val="continue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50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auto"/>
                <w:spacing w:val="-14"/>
                <w:szCs w:val="21"/>
              </w:rPr>
              <w:t>水彩</w:t>
            </w:r>
            <w:r>
              <w:rPr>
                <w:rFonts w:hint="eastAsia"/>
                <w:bCs/>
                <w:color w:val="auto"/>
                <w:spacing w:val="-14"/>
                <w:szCs w:val="21"/>
                <w:lang w:val="en-US" w:eastAsia="zh-CN"/>
              </w:rPr>
              <w:t>画（</w:t>
            </w:r>
            <w:r>
              <w:rPr>
                <w:rFonts w:hint="eastAsia"/>
                <w:bCs/>
                <w:color w:val="auto"/>
                <w:spacing w:val="-14"/>
                <w:szCs w:val="21"/>
              </w:rPr>
              <w:t>人物</w:t>
            </w:r>
            <w:r>
              <w:rPr>
                <w:rFonts w:hint="eastAsia"/>
                <w:bCs/>
                <w:color w:val="auto"/>
                <w:spacing w:val="-14"/>
                <w:szCs w:val="21"/>
                <w:lang w:val="en-US" w:eastAsia="zh-CN"/>
              </w:rPr>
              <w:t>）动态与情绪塑造的写生与训练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绘画实践</w:t>
            </w:r>
          </w:p>
        </w:tc>
        <w:tc>
          <w:tcPr>
            <w:tcW w:w="5038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both"/>
              <w:rPr>
                <w:rFonts w:hint="eastAsia" w:ascii="Times New Roman" w:hAnsi="Times New Roman" w:cs="Times New Roman" w:eastAsia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人</w:t>
            </w:r>
            <w:r>
              <w:rPr>
                <w:rFonts w:hint="eastAsia"/>
                <w:color w:val="auto"/>
                <w:szCs w:val="21"/>
              </w:rPr>
              <w:t>物</w:t>
            </w:r>
            <w:r>
              <w:rPr>
                <w:rFonts w:hint="eastAsia"/>
                <w:bCs/>
                <w:color w:val="auto"/>
                <w:szCs w:val="21"/>
              </w:rPr>
              <w:t>画构图研究；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人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物刻画能力训练；探索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人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物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结构比例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、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动态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、空间和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情绪表达</w:t>
            </w:r>
            <w:r>
              <w:rPr>
                <w:rFonts w:hint="eastAsia"/>
                <w:bCs/>
                <w:color w:val="auto"/>
                <w:szCs w:val="21"/>
                <w:lang w:eastAsia="zh-CN" w:bidi="en-US"/>
              </w:rPr>
              <w:t>。（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重、难点</w:t>
            </w:r>
            <w:r>
              <w:rPr>
                <w:rFonts w:hint="eastAsia"/>
                <w:bCs/>
                <w:color w:val="auto"/>
                <w:szCs w:val="21"/>
                <w:lang w:eastAsia="zh-CN" w:bidi="en-US"/>
              </w:rPr>
              <w:t>）</w:t>
            </w:r>
          </w:p>
        </w:tc>
        <w:tc>
          <w:tcPr>
            <w:tcW w:w="75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07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必做</w:t>
            </w:r>
          </w:p>
        </w:tc>
        <w:tc>
          <w:tcPr>
            <w:tcW w:w="72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kern w:val="0"/>
                <w:sz w:val="20"/>
                <w:szCs w:val="21"/>
                <w:lang w:val="en-US" w:eastAsia="zh-CN"/>
              </w:rPr>
              <w:t>5-7</w:t>
            </w:r>
          </w:p>
        </w:tc>
        <w:tc>
          <w:tcPr>
            <w:tcW w:w="106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ind w:right="-84" w:rightChars="-40"/>
              <w:jc w:val="left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讲授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法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直观演示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法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练习法；</w:t>
            </w:r>
          </w:p>
        </w:tc>
        <w:tc>
          <w:tcPr>
            <w:tcW w:w="679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课程目标2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505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38" w:type="dxa"/>
            <w:tcBorders>
              <w:top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Times New Roman" w:hAnsi="Times New Roman" w:cs="Times New Roman" w:eastAsia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auto"/>
                <w:spacing w:val="-6"/>
                <w:szCs w:val="21"/>
              </w:rPr>
              <w:t>水彩人物画</w:t>
            </w:r>
            <w:r>
              <w:rPr>
                <w:rFonts w:hint="eastAsia"/>
                <w:bCs/>
                <w:color w:val="auto"/>
                <w:szCs w:val="21"/>
              </w:rPr>
              <w:t>情感表</w:t>
            </w:r>
            <w:r>
              <w:rPr>
                <w:rFonts w:hint="eastAsia"/>
                <w:bCs/>
                <w:color w:val="auto"/>
                <w:szCs w:val="21"/>
                <w:lang w:val="en-US" w:eastAsia="zh-CN"/>
              </w:rPr>
              <w:t>达</w:t>
            </w:r>
            <w:r>
              <w:rPr>
                <w:rFonts w:hint="eastAsia"/>
                <w:bCs/>
                <w:color w:val="auto"/>
                <w:szCs w:val="21"/>
              </w:rPr>
              <w:t>研究；水彩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画偶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和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天成的水彩肌理效果</w:t>
            </w:r>
            <w:r>
              <w:rPr>
                <w:rFonts w:hint="eastAsia"/>
                <w:bCs/>
                <w:color w:val="auto"/>
                <w:szCs w:val="21"/>
              </w:rPr>
              <w:t>研究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；</w:t>
            </w:r>
            <w:r>
              <w:rPr>
                <w:rFonts w:hint="eastAsia"/>
                <w:color w:val="auto"/>
                <w:szCs w:val="21"/>
              </w:rPr>
              <w:t xml:space="preserve"> </w:t>
            </w:r>
            <w:r>
              <w:rPr>
                <w:rFonts w:hint="eastAsia"/>
                <w:bCs/>
                <w:color w:val="auto"/>
                <w:spacing w:val="-10"/>
                <w:szCs w:val="21"/>
              </w:rPr>
              <w:t>水彩人物画（</w:t>
            </w:r>
            <w:r>
              <w:rPr>
                <w:rFonts w:hint="eastAsia"/>
                <w:bCs/>
                <w:color w:val="auto"/>
                <w:spacing w:val="-10"/>
                <w:szCs w:val="21"/>
                <w:lang w:val="en-US" w:eastAsia="zh-CN"/>
              </w:rPr>
              <w:t>女</w:t>
            </w:r>
            <w:r>
              <w:rPr>
                <w:rFonts w:hint="eastAsia"/>
                <w:bCs/>
                <w:color w:val="auto"/>
                <w:spacing w:val="-10"/>
                <w:szCs w:val="21"/>
              </w:rPr>
              <w:t>性）</w:t>
            </w:r>
            <w:r>
              <w:rPr>
                <w:rFonts w:hint="eastAsia"/>
                <w:bCs/>
                <w:color w:val="auto"/>
                <w:spacing w:val="-10"/>
                <w:szCs w:val="21"/>
                <w:lang w:val="en-US" w:eastAsia="zh-CN"/>
              </w:rPr>
              <w:t>的特征表现与</w:t>
            </w:r>
            <w:r>
              <w:rPr>
                <w:rFonts w:hAnsi="宋体" w:cs="Times New Roman"/>
                <w:color w:val="auto"/>
                <w:szCs w:val="20"/>
              </w:rPr>
              <w:t>技法要领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。</w:t>
            </w:r>
          </w:p>
        </w:tc>
        <w:tc>
          <w:tcPr>
            <w:tcW w:w="75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72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 w:val="0"/>
                <w:bCs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106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505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auto"/>
                <w:spacing w:val="-6"/>
                <w:szCs w:val="21"/>
              </w:rPr>
              <w:t>水彩人物画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写生与创作的综合表达</w:t>
            </w:r>
            <w:r>
              <w:rPr>
                <w:rFonts w:hint="eastAsia"/>
                <w:bCs/>
                <w:color w:val="auto"/>
                <w:spacing w:val="-6"/>
                <w:szCs w:val="21"/>
                <w:lang w:val="en-US" w:eastAsia="zh-CN"/>
              </w:rPr>
              <w:t>训练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绘画实践</w:t>
            </w:r>
          </w:p>
        </w:tc>
        <w:tc>
          <w:tcPr>
            <w:tcW w:w="5038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Times New Roman" w:hAnsi="Times New Roman" w:cs="Times New Roman" w:eastAsiaTheme="minorEastAsia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掌握</w:t>
            </w:r>
            <w:r>
              <w:rPr>
                <w:rFonts w:hint="eastAsia"/>
                <w:bCs/>
                <w:color w:val="auto"/>
                <w:spacing w:val="-6"/>
                <w:szCs w:val="21"/>
              </w:rPr>
              <w:t>水彩人物</w:t>
            </w:r>
            <w:r>
              <w:rPr>
                <w:rFonts w:hint="eastAsia"/>
                <w:bCs/>
                <w:color w:val="auto"/>
                <w:spacing w:val="-6"/>
                <w:szCs w:val="21"/>
                <w:lang w:val="en-US" w:eastAsia="zh-CN"/>
              </w:rPr>
              <w:t>写生创作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整体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表现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与局部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关系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协调处理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能力</w:t>
            </w:r>
            <w:r>
              <w:rPr>
                <w:rFonts w:hint="eastAsia"/>
                <w:bCs/>
                <w:color w:val="auto"/>
                <w:szCs w:val="21"/>
                <w:lang w:bidi="en-US"/>
              </w:rPr>
              <w:t>；</w:t>
            </w:r>
            <w:r>
              <w:rPr>
                <w:rFonts w:hAnsi="宋体" w:cs="Times New Roman"/>
                <w:color w:val="auto"/>
                <w:szCs w:val="20"/>
              </w:rPr>
              <w:t xml:space="preserve"> </w:t>
            </w:r>
            <w:r>
              <w:rPr>
                <w:rFonts w:hint="eastAsia" w:hAnsi="宋体" w:cs="Times New Roman"/>
                <w:color w:val="auto"/>
                <w:szCs w:val="20"/>
              </w:rPr>
              <w:t>中外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水彩人物画</w:t>
            </w:r>
            <w:r>
              <w:rPr>
                <w:rFonts w:hint="eastAsia" w:hAnsi="宋体" w:cs="Times New Roman"/>
                <w:color w:val="auto"/>
                <w:szCs w:val="20"/>
              </w:rPr>
              <w:t>名家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创作思路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解读</w:t>
            </w:r>
            <w:r>
              <w:rPr>
                <w:rFonts w:hint="eastAsia"/>
                <w:bCs/>
                <w:color w:val="auto"/>
                <w:szCs w:val="21"/>
                <w:lang w:eastAsia="zh-CN" w:bidi="en-US"/>
              </w:rPr>
              <w:t>。</w:t>
            </w:r>
          </w:p>
        </w:tc>
        <w:tc>
          <w:tcPr>
            <w:tcW w:w="75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07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szCs w:val="21"/>
              </w:rPr>
              <w:t>综合性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创作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研究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必做</w:t>
            </w:r>
          </w:p>
        </w:tc>
        <w:tc>
          <w:tcPr>
            <w:tcW w:w="72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color w:val="auto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color w:val="auto"/>
                <w:kern w:val="0"/>
                <w:sz w:val="20"/>
                <w:szCs w:val="21"/>
                <w:lang w:val="en-US" w:eastAsia="zh-CN"/>
              </w:rPr>
              <w:t>5-7</w:t>
            </w:r>
          </w:p>
        </w:tc>
        <w:tc>
          <w:tcPr>
            <w:tcW w:w="106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ind w:left="42" w:leftChars="20" w:right="42" w:rightChars="20"/>
              <w:jc w:val="both"/>
              <w:rPr>
                <w:rFonts w:hint="eastAsia"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Ansi="宋体" w:cs="Times New Roman"/>
                <w:color w:val="auto"/>
                <w:szCs w:val="20"/>
              </w:rPr>
              <w:t>案例教学法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；</w:t>
            </w:r>
            <w:r>
              <w:rPr>
                <w:rFonts w:hint="eastAsia" w:hAnsi="宋体" w:cs="Times New Roman"/>
                <w:color w:val="auto"/>
                <w:szCs w:val="20"/>
              </w:rPr>
              <w:t>专题讨论</w:t>
            </w:r>
            <w:r>
              <w:rPr>
                <w:rFonts w:hAnsi="宋体" w:cs="Times New Roman"/>
                <w:color w:val="auto"/>
                <w:szCs w:val="20"/>
              </w:rPr>
              <w:t>法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；</w:t>
            </w:r>
            <w:bookmarkStart w:id="2" w:name="OLE_LINK1"/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自主学习法</w:t>
            </w:r>
            <w:bookmarkEnd w:id="2"/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；</w:t>
            </w:r>
            <w:r>
              <w:rPr>
                <w:rFonts w:ascii="Times New Roman" w:hAnsi="Times New Roman" w:eastAsia="宋体" w:cs="Times New Roman"/>
                <w:color w:val="auto"/>
                <w:szCs w:val="21"/>
              </w:rPr>
              <w:t>实验指导</w:t>
            </w: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法；</w:t>
            </w:r>
          </w:p>
        </w:tc>
        <w:tc>
          <w:tcPr>
            <w:tcW w:w="679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kern w:val="0"/>
                <w:sz w:val="2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  <w:t>课程目标2、3.4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505" w:type="dxa"/>
            <w:vMerge w:val="continue"/>
            <w:vAlign w:val="center"/>
          </w:tcPr>
          <w:p>
            <w:pPr>
              <w:spacing w:line="300" w:lineRule="exact"/>
              <w:jc w:val="center"/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spacing w:line="300" w:lineRule="exact"/>
              <w:jc w:val="center"/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spacing w:line="300" w:lineRule="exact"/>
              <w:jc w:val="center"/>
            </w:pPr>
          </w:p>
        </w:tc>
        <w:tc>
          <w:tcPr>
            <w:tcW w:w="5038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hAnsi="宋体" w:cs="Times New Roman"/>
                <w:color w:val="auto"/>
                <w:szCs w:val="20"/>
              </w:rPr>
            </w:pP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掌握</w:t>
            </w:r>
            <w:r>
              <w:rPr>
                <w:rFonts w:cs="Times New Roman"/>
                <w:color w:val="auto"/>
                <w:sz w:val="21"/>
                <w:szCs w:val="20"/>
              </w:rPr>
              <w:t>情境学习、探究学习、问题解决等多种学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习</w:t>
            </w:r>
            <w:r>
              <w:rPr>
                <w:rFonts w:cs="Times New Roman"/>
                <w:color w:val="auto"/>
                <w:sz w:val="21"/>
                <w:szCs w:val="20"/>
              </w:rPr>
              <w:t>策略。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结合写生与创</w:t>
            </w:r>
            <w:r>
              <w:rPr>
                <w:rFonts w:hAnsi="宋体" w:cs="Times New Roman"/>
                <w:color w:val="auto"/>
                <w:szCs w:val="20"/>
              </w:rPr>
              <w:t>作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，</w:t>
            </w:r>
            <w:r>
              <w:rPr>
                <w:rFonts w:hint="eastAsia" w:hAnsi="宋体" w:cs="Times New Roman"/>
                <w:color w:val="auto"/>
                <w:szCs w:val="20"/>
              </w:rPr>
              <w:t>探索</w:t>
            </w:r>
            <w:r>
              <w:rPr>
                <w:rFonts w:hint="eastAsia" w:hAnsi="宋体" w:cs="Times New Roman"/>
                <w:color w:val="auto"/>
                <w:szCs w:val="20"/>
                <w:lang w:val="en-US" w:eastAsia="zh-CN"/>
              </w:rPr>
              <w:t>水彩语言</w:t>
            </w:r>
            <w:r>
              <w:rPr>
                <w:rFonts w:hAnsi="宋体" w:cs="Times New Roman"/>
                <w:color w:val="auto"/>
                <w:szCs w:val="20"/>
              </w:rPr>
              <w:t>的</w:t>
            </w:r>
            <w:r>
              <w:rPr>
                <w:rFonts w:hint="eastAsia" w:hAnsi="宋体" w:cs="Times New Roman"/>
                <w:color w:val="auto"/>
                <w:szCs w:val="20"/>
              </w:rPr>
              <w:t>表达</w:t>
            </w:r>
            <w:r>
              <w:rPr>
                <w:rFonts w:hAnsi="宋体" w:cs="Times New Roman"/>
                <w:color w:val="auto"/>
                <w:szCs w:val="20"/>
              </w:rPr>
              <w:t>。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（</w:t>
            </w:r>
            <w:r>
              <w:rPr>
                <w:rFonts w:hint="eastAsia"/>
                <w:bCs/>
                <w:color w:val="auto"/>
                <w:szCs w:val="21"/>
                <w:lang w:val="en-US" w:eastAsia="zh-CN" w:bidi="en-US"/>
              </w:rPr>
              <w:t>重、难点</w:t>
            </w:r>
            <w:r>
              <w:rPr>
                <w:rFonts w:hint="eastAsia" w:hAnsi="宋体" w:cs="Times New Roman"/>
                <w:color w:val="auto"/>
                <w:szCs w:val="20"/>
                <w:lang w:eastAsia="zh-CN"/>
              </w:rPr>
              <w:t>）</w:t>
            </w:r>
          </w:p>
        </w:tc>
        <w:tc>
          <w:tcPr>
            <w:tcW w:w="75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hAnsi="宋体" w:cs="Times New Roman"/>
                <w:color w:val="auto"/>
                <w:szCs w:val="20"/>
              </w:rPr>
            </w:pPr>
          </w:p>
        </w:tc>
        <w:tc>
          <w:tcPr>
            <w:tcW w:w="107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hAnsi="宋体" w:cs="Times New Roman"/>
                <w:color w:val="auto"/>
                <w:szCs w:val="20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hAnsi="宋体" w:cs="Times New Roman"/>
                <w:color w:val="auto"/>
                <w:szCs w:val="20"/>
              </w:rPr>
            </w:pPr>
          </w:p>
        </w:tc>
        <w:tc>
          <w:tcPr>
            <w:tcW w:w="72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hAnsi="宋体" w:cs="Times New Roman"/>
                <w:color w:val="auto"/>
                <w:szCs w:val="20"/>
              </w:rPr>
            </w:pPr>
          </w:p>
        </w:tc>
        <w:tc>
          <w:tcPr>
            <w:tcW w:w="106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hAnsi="宋体" w:cs="Times New Roman"/>
                <w:color w:val="auto"/>
                <w:szCs w:val="20"/>
              </w:rPr>
            </w:pPr>
          </w:p>
        </w:tc>
        <w:tc>
          <w:tcPr>
            <w:tcW w:w="67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hAnsi="宋体" w:cs="Times New Roman"/>
                <w:color w:val="auto"/>
                <w:szCs w:val="20"/>
              </w:rPr>
            </w:pPr>
          </w:p>
        </w:tc>
      </w:tr>
    </w:tbl>
    <w:p>
      <w:pPr>
        <w:widowControl/>
        <w:spacing w:line="3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rPr>
          <w:rFonts w:ascii="Times New Roman" w:hAnsi="Times New Roman" w:cs="Times New Roman"/>
        </w:rPr>
        <w:sectPr>
          <w:pgSz w:w="16838" w:h="11906" w:orient="landscape"/>
          <w:pgMar w:top="1417" w:right="1417" w:bottom="1417" w:left="1417" w:header="851" w:footer="992" w:gutter="0"/>
          <w:cols w:space="425" w:num="1"/>
          <w:docGrid w:linePitch="312" w:charSpace="0"/>
        </w:sect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hint="default" w:ascii="Times New Roman" w:hAnsi="Times New Roman" w:eastAsia="黑体" w:cs="Times New Roman"/>
          <w:kern w:val="0"/>
        </w:rPr>
        <w:t>四、</w:t>
      </w:r>
      <w:r>
        <w:rPr>
          <w:rFonts w:ascii="Times New Roman" w:hAnsi="Times New Roman" w:eastAsia="黑体" w:cs="Times New Roman"/>
          <w:kern w:val="0"/>
        </w:rPr>
        <w:t>课程考核</w:t>
      </w:r>
    </w:p>
    <w:p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="482" w:firstLineChars="200"/>
        <w:rPr>
          <w:rFonts w:ascii="Times" w:hAnsi="Times" w:eastAsia="宋体" w:cs="Times"/>
          <w:color w:val="FF0000"/>
          <w:sz w:val="24"/>
          <w:szCs w:val="21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（一）考核内容与考核方式</w:t>
      </w:r>
    </w:p>
    <w:p>
      <w:pPr>
        <w:pStyle w:val="4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hint="eastAsia" w:ascii="Times New Roman" w:cs="Times New Roman"/>
          <w:b/>
          <w:sz w:val="21"/>
          <w:szCs w:val="21"/>
        </w:rPr>
        <w:t>表4 课程目标、考核内容与考核方式对应关系</w:t>
      </w:r>
    </w:p>
    <w:tbl>
      <w:tblPr>
        <w:tblStyle w:val="10"/>
        <w:tblW w:w="4863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4700"/>
        <w:gridCol w:w="1240"/>
        <w:gridCol w:w="1030"/>
        <w:gridCol w:w="100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15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15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6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15"/>
              <w:jc w:val="both"/>
              <w:rPr>
                <w:rFonts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>
            <w:pPr>
              <w:pStyle w:val="24"/>
              <w:kinsoku w:val="0"/>
              <w:overflowPunct w:val="0"/>
              <w:spacing w:before="15"/>
              <w:jc w:val="both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171"/>
              <w:ind w:right="-166" w:rightChars="0"/>
              <w:jc w:val="both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15"/>
              <w:jc w:val="both"/>
              <w:rPr>
                <w:rFonts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</w:t>
            </w:r>
          </w:p>
          <w:p>
            <w:pPr>
              <w:pStyle w:val="24"/>
              <w:kinsoku w:val="0"/>
              <w:overflowPunct w:val="0"/>
              <w:spacing w:before="15"/>
              <w:jc w:val="both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15"/>
              <w:jc w:val="left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right="-58" w:rightChars="0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1.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水彩人物画概述及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中外美术理论、</w:t>
            </w:r>
            <w:r>
              <w:rPr>
                <w:rFonts w:cs="Times New Roman"/>
                <w:color w:val="auto"/>
                <w:sz w:val="21"/>
                <w:szCs w:val="20"/>
              </w:rPr>
              <w:t>历史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沿革。</w:t>
            </w:r>
          </w:p>
        </w:tc>
        <w:tc>
          <w:tcPr>
            <w:tcW w:w="68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模块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水彩人物画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概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述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、发展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脉络</w:t>
            </w:r>
          </w:p>
        </w:tc>
        <w:tc>
          <w:tcPr>
            <w:tcW w:w="57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3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随堂提问、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课堂笔记或学习</w:t>
            </w:r>
            <w:r>
              <w:rPr>
                <w:rFonts w:cs="Times New Roman"/>
                <w:color w:val="auto"/>
                <w:sz w:val="21"/>
                <w:szCs w:val="20"/>
              </w:rPr>
              <w:t>态度考评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8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2.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水彩人物画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学科知识体系，审美感知、艺术表现、审美态度、创新能力、文化理解等学科思想与方法。</w:t>
            </w:r>
          </w:p>
        </w:tc>
        <w:tc>
          <w:tcPr>
            <w:tcW w:w="68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jc w:val="center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7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5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left"/>
              <w:textAlignment w:val="auto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8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</w:pP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cs="Times New Roman" w:asciiTheme="minorHAnsi" w:hAnsiTheme="minorHAnsi" w:eastAsiaTheme="minorEastAsia"/>
                <w:color w:val="auto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3.融入水彩人物画的思政元素，表现平凡人物朴素的美，形成正确的人文历史观。</w:t>
            </w:r>
          </w:p>
        </w:tc>
        <w:tc>
          <w:tcPr>
            <w:tcW w:w="68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cs="Times New Roman"/>
                <w:color w:val="auto"/>
                <w:sz w:val="21"/>
                <w:szCs w:val="20"/>
              </w:rPr>
            </w:pPr>
          </w:p>
        </w:tc>
        <w:tc>
          <w:tcPr>
            <w:tcW w:w="57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cs="Times New Roman"/>
                <w:color w:val="auto"/>
                <w:sz w:val="21"/>
                <w:szCs w:val="20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cs="Times New Roman"/>
                <w:color w:val="auto"/>
                <w:sz w:val="21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12"/>
              <w:jc w:val="left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right="-58" w:rightChars="0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1.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水彩人物画表现的</w:t>
            </w:r>
            <w:r>
              <w:rPr>
                <w:rFonts w:cs="Times New Roman"/>
                <w:color w:val="auto"/>
                <w:sz w:val="21"/>
                <w:szCs w:val="20"/>
              </w:rPr>
              <w:t>基本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方法与步骤。</w:t>
            </w:r>
          </w:p>
        </w:tc>
        <w:tc>
          <w:tcPr>
            <w:tcW w:w="68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模块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水彩人物画写生步骤与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技法</w:t>
            </w:r>
          </w:p>
        </w:tc>
        <w:tc>
          <w:tcPr>
            <w:tcW w:w="57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tabs>
                <w:tab w:val="left" w:pos="455"/>
              </w:tabs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280" w:lineRule="exact"/>
              <w:jc w:val="both"/>
              <w:textAlignment w:val="auto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hint="eastAsia" w:hAnsi="Times New Roman" w:cs="Times New Roman"/>
                <w:color w:val="auto"/>
                <w:sz w:val="21"/>
                <w:szCs w:val="20"/>
                <w:lang w:val="en-US" w:eastAsia="zh-CN"/>
              </w:rPr>
              <w:t>课堂写生实践，作业</w:t>
            </w:r>
            <w:r>
              <w:rPr>
                <w:rFonts w:cs="Times New Roman"/>
                <w:color w:val="auto"/>
                <w:sz w:val="21"/>
                <w:szCs w:val="20"/>
              </w:rPr>
              <w:t>质量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考</w:t>
            </w:r>
            <w:r>
              <w:rPr>
                <w:rFonts w:cs="Times New Roman"/>
                <w:color w:val="auto"/>
                <w:sz w:val="21"/>
                <w:szCs w:val="20"/>
              </w:rPr>
              <w:t>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2.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画面构图、透视、色调、肌理、笔触分析与表现。</w:t>
            </w:r>
          </w:p>
        </w:tc>
        <w:tc>
          <w:tcPr>
            <w:tcW w:w="68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jc w:val="center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7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5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8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3.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水彩人物画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综合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技巧的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表达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探索与创新。</w:t>
            </w:r>
          </w:p>
        </w:tc>
        <w:tc>
          <w:tcPr>
            <w:tcW w:w="68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jc w:val="center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7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5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5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15"/>
              <w:jc w:val="left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right="-58" w:rightChars="0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1.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水彩画（人物）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绘画语言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探索</w:t>
            </w:r>
            <w:r>
              <w:rPr>
                <w:rFonts w:cs="Times New Roman"/>
                <w:color w:val="auto"/>
                <w:sz w:val="21"/>
                <w:szCs w:val="20"/>
              </w:rPr>
              <w:t>。</w:t>
            </w:r>
          </w:p>
        </w:tc>
        <w:tc>
          <w:tcPr>
            <w:tcW w:w="68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default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模块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水彩人物画特征把握与表现</w:t>
            </w:r>
          </w:p>
        </w:tc>
        <w:tc>
          <w:tcPr>
            <w:tcW w:w="57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5"/>
              <w:ind w:right="177" w:rightChars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280" w:lineRule="exact"/>
              <w:jc w:val="both"/>
              <w:textAlignment w:val="auto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hint="eastAsia" w:hAnsi="Times New Roman" w:cs="Times New Roman"/>
                <w:color w:val="auto"/>
                <w:sz w:val="21"/>
                <w:szCs w:val="20"/>
                <w:lang w:val="en-US" w:eastAsia="zh-CN"/>
              </w:rPr>
              <w:t>课堂写生实践，</w:t>
            </w:r>
            <w:r>
              <w:rPr>
                <w:rFonts w:cs="Times New Roman"/>
                <w:color w:val="auto"/>
                <w:sz w:val="21"/>
                <w:szCs w:val="20"/>
              </w:rPr>
              <w:t>作业质量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考评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8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4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insoku w:val="0"/>
              <w:overflowPunct w:val="0"/>
              <w:spacing w:before="22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2.</w:t>
            </w:r>
            <w:r>
              <w:rPr>
                <w:rFonts w:cs="Times New Roman"/>
                <w:color w:val="auto"/>
                <w:sz w:val="21"/>
                <w:szCs w:val="20"/>
              </w:rPr>
              <w:t>把握知识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的教学与</w:t>
            </w:r>
            <w:r>
              <w:rPr>
                <w:rFonts w:cs="Times New Roman"/>
                <w:color w:val="auto"/>
                <w:sz w:val="21"/>
                <w:szCs w:val="20"/>
              </w:rPr>
              <w:t>传递能力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，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探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索</w:t>
            </w:r>
            <w:r>
              <w:rPr>
                <w:rFonts w:cs="Times New Roman"/>
                <w:color w:val="auto"/>
                <w:sz w:val="21"/>
                <w:szCs w:val="20"/>
              </w:rPr>
              <w:t>知识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运用</w:t>
            </w:r>
            <w:r>
              <w:rPr>
                <w:rFonts w:cs="Times New Roman"/>
                <w:color w:val="auto"/>
                <w:sz w:val="21"/>
                <w:szCs w:val="20"/>
              </w:rPr>
              <w:t>能力，学习后的收获点滴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，</w:t>
            </w:r>
            <w:r>
              <w:rPr>
                <w:rFonts w:cs="Times New Roman"/>
                <w:color w:val="auto"/>
                <w:sz w:val="21"/>
                <w:szCs w:val="20"/>
              </w:rPr>
              <w:t>学习心得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总结。</w:t>
            </w:r>
          </w:p>
        </w:tc>
        <w:tc>
          <w:tcPr>
            <w:tcW w:w="68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jc w:val="center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7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5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both"/>
              <w:textAlignment w:val="auto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58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insoku w:val="0"/>
              <w:overflowPunct w:val="0"/>
              <w:spacing w:before="22"/>
              <w:jc w:val="left"/>
            </w:pPr>
          </w:p>
        </w:tc>
        <w:tc>
          <w:tcPr>
            <w:tcW w:w="4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insoku w:val="0"/>
              <w:overflowPunct w:val="0"/>
              <w:spacing w:before="22"/>
              <w:jc w:val="left"/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3</w:t>
            </w:r>
            <w:r>
              <w:rPr>
                <w:rFonts w:cs="Times New Roman"/>
                <w:color w:val="auto"/>
                <w:sz w:val="21"/>
                <w:szCs w:val="20"/>
              </w:rPr>
              <w:t>.个别案列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分</w:t>
            </w:r>
            <w:r>
              <w:rPr>
                <w:rFonts w:cs="Times New Roman"/>
                <w:color w:val="auto"/>
                <w:sz w:val="21"/>
                <w:szCs w:val="20"/>
              </w:rPr>
              <w:t>析与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点评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，</w:t>
            </w:r>
            <w:r>
              <w:rPr>
                <w:rFonts w:cs="Times New Roman"/>
                <w:color w:val="auto"/>
                <w:sz w:val="21"/>
                <w:szCs w:val="20"/>
              </w:rPr>
              <w:t>代表作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品</w:t>
            </w:r>
            <w:r>
              <w:rPr>
                <w:rFonts w:cs="Times New Roman"/>
                <w:color w:val="auto"/>
                <w:sz w:val="21"/>
                <w:szCs w:val="20"/>
              </w:rPr>
              <w:t>赏析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及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发展方向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分析。</w:t>
            </w:r>
          </w:p>
        </w:tc>
        <w:tc>
          <w:tcPr>
            <w:tcW w:w="686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insoku w:val="0"/>
              <w:overflowPunct w:val="0"/>
              <w:spacing w:before="22"/>
              <w:jc w:val="left"/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</w:pPr>
          </w:p>
        </w:tc>
        <w:tc>
          <w:tcPr>
            <w:tcW w:w="570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spacing w:before="22"/>
              <w:jc w:val="left"/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</w:pPr>
          </w:p>
        </w:tc>
        <w:tc>
          <w:tcPr>
            <w:tcW w:w="55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spacing w:before="22"/>
              <w:jc w:val="left"/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="15"/>
              <w:jc w:val="left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right="-58" w:rightChars="0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1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.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水彩画（人物）创作</w:t>
            </w:r>
            <w:r>
              <w:rPr>
                <w:rFonts w:cs="Times New Roman"/>
                <w:color w:val="auto"/>
                <w:sz w:val="21"/>
                <w:szCs w:val="20"/>
              </w:rPr>
              <w:t>相关的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构图、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色调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、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人物特征等</w:t>
            </w:r>
            <w:r>
              <w:rPr>
                <w:rFonts w:hint="eastAsia" w:cs="Times New Roman"/>
                <w:color w:val="auto"/>
                <w:sz w:val="21"/>
                <w:szCs w:val="20"/>
              </w:rPr>
              <w:t>相关</w:t>
            </w:r>
            <w:r>
              <w:rPr>
                <w:rFonts w:cs="Times New Roman"/>
                <w:color w:val="auto"/>
                <w:sz w:val="21"/>
                <w:szCs w:val="20"/>
              </w:rPr>
              <w:t>知识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，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掌握画面整体与局部效果的把控能力。</w:t>
            </w:r>
          </w:p>
        </w:tc>
        <w:tc>
          <w:tcPr>
            <w:tcW w:w="6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hint="eastAsia" w:asci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模块4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水彩人物画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创作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实践</w:t>
            </w:r>
          </w:p>
        </w:tc>
        <w:tc>
          <w:tcPr>
            <w:tcW w:w="57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right="177" w:rightChars="0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adjustRightInd w:val="0"/>
              <w:snapToGrid/>
              <w:spacing w:line="280" w:lineRule="exact"/>
              <w:jc w:val="both"/>
              <w:textAlignment w:val="auto"/>
              <w:rPr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hint="eastAsia" w:ascii="Times New Roman" w:cs="Times New Roman"/>
                <w:sz w:val="22"/>
                <w:szCs w:val="22"/>
                <w:lang w:val="en-US" w:eastAsia="zh-CN"/>
              </w:rPr>
              <w:t>课堂写生实践，写生作品、小组互动表现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22"/>
              <w:ind w:right="113" w:rightChars="0"/>
              <w:jc w:val="both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cs="Times New Roman"/>
                <w:color w:val="auto"/>
                <w:sz w:val="21"/>
                <w:szCs w:val="20"/>
              </w:rPr>
              <w:t>2</w:t>
            </w:r>
            <w:r>
              <w:rPr>
                <w:rFonts w:hint="eastAsia" w:cs="Times New Roman"/>
                <w:color w:val="auto"/>
                <w:sz w:val="21"/>
                <w:szCs w:val="20"/>
                <w:lang w:eastAsia="zh-CN"/>
              </w:rPr>
              <w:t>.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水彩画（人物）分组写生实践与团队合作。</w:t>
            </w:r>
          </w:p>
        </w:tc>
        <w:tc>
          <w:tcPr>
            <w:tcW w:w="68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4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70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5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58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kinsoku w:val="0"/>
              <w:overflowPunct w:val="0"/>
              <w:spacing w:before="25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3</w:t>
            </w:r>
            <w:r>
              <w:rPr>
                <w:rFonts w:cs="Times New Roman"/>
                <w:color w:val="auto"/>
                <w:sz w:val="21"/>
                <w:szCs w:val="20"/>
              </w:rPr>
              <w:t>.</w:t>
            </w:r>
            <w:r>
              <w:rPr>
                <w:rFonts w:hint="eastAsia" w:cs="Times New Roman"/>
                <w:color w:val="auto"/>
                <w:sz w:val="21"/>
                <w:szCs w:val="20"/>
                <w:lang w:val="en-US" w:eastAsia="zh-CN"/>
              </w:rPr>
              <w:t>水彩画（人物）表现能力与专业未来发展方向规划。</w:t>
            </w:r>
          </w:p>
        </w:tc>
        <w:tc>
          <w:tcPr>
            <w:tcW w:w="686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4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570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56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</w:tbl>
    <w:p>
      <w:pPr>
        <w:kinsoku w:val="0"/>
        <w:overflowPunct w:val="0"/>
        <w:autoSpaceDE w:val="0"/>
        <w:autoSpaceDN w:val="0"/>
        <w:adjustRightInd w:val="0"/>
        <w:spacing w:before="8"/>
        <w:ind w:firstLine="482" w:firstLineChars="200"/>
        <w:rPr>
          <w:rFonts w:ascii="Hiragino Sans GB W6" w:hAnsi="Times New Roman" w:eastAsia="宋体" w:cs="Hiragino Sans GB W6"/>
          <w:b/>
          <w:sz w:val="24"/>
          <w:szCs w:val="24"/>
        </w:rPr>
      </w:pPr>
    </w:p>
    <w:p>
      <w:pPr>
        <w:kinsoku w:val="0"/>
        <w:overflowPunct w:val="0"/>
        <w:autoSpaceDE w:val="0"/>
        <w:autoSpaceDN w:val="0"/>
        <w:adjustRightInd w:val="0"/>
        <w:spacing w:before="8"/>
        <w:ind w:firstLine="241" w:firstLineChars="1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（二）成绩评定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1</w:t>
      </w:r>
      <w:r>
        <w:rPr>
          <w:rFonts w:ascii="Times" w:hAnsi="Times New Roman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 New Roman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平时成绩的评定包含合理的、多维度的过程性考核方式，考核内容覆盖支撑课程目标的学习内容，考核结果合理反应课程目标的达成度，考核权重与教学内容相匹配，各考核环节考核标准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如下：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 New Roman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平时成绩（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）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考核方式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 xml:space="preserve"> </w:t>
      </w:r>
      <w:r>
        <w:rPr>
          <w:rFonts w:hint="eastAsia" w:ascii="明黑等宽" w:eastAsia="明黑等宽" w:cs="明黑等宽"/>
          <w:b/>
          <w:bCs/>
          <w:color w:val="auto"/>
          <w:sz w:val="24"/>
          <w:szCs w:val="24"/>
        </w:rPr>
        <w:t>①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20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）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考核方式</w:t>
      </w:r>
      <w:r>
        <w:rPr>
          <w:rFonts w:hint="eastAsia" w:ascii="明黑等宽" w:eastAsia="明黑等宽" w:cs="明黑等宽"/>
          <w:b/>
          <w:bCs/>
          <w:color w:val="auto"/>
          <w:sz w:val="24"/>
          <w:szCs w:val="24"/>
        </w:rPr>
        <w:t>②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30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）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考核方式</w:t>
      </w:r>
      <w:r>
        <w:rPr>
          <w:rFonts w:hint="eastAsia" w:ascii="明黑等宽" w:eastAsia="明黑等宽" w:cs="明黑等宽"/>
          <w:b/>
          <w:bCs/>
          <w:color w:val="auto"/>
          <w:sz w:val="24"/>
          <w:szCs w:val="24"/>
        </w:rPr>
        <w:t>③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50</w:t>
      </w:r>
      <w:r>
        <w:rPr>
          <w:rFonts w:ascii="Times" w:hAnsi="Times" w:eastAsia="宋体" w:cs="Times"/>
          <w:color w:val="auto"/>
          <w:kern w:val="0"/>
          <w:sz w:val="24"/>
          <w:szCs w:val="24"/>
        </w:rPr>
        <w:t>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）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hint="eastAsia" w:ascii="Times" w:hAnsi="Times" w:eastAsia="宋体" w:cs="Times"/>
          <w:color w:val="auto"/>
          <w:kern w:val="0"/>
          <w:sz w:val="24"/>
          <w:szCs w:val="24"/>
        </w:rPr>
      </w:pPr>
      <w:r>
        <w:rPr>
          <w:rFonts w:hint="eastAsia" w:ascii="明黑等宽" w:eastAsia="明黑等宽" w:cs="明黑等宽"/>
          <w:b/>
          <w:bCs/>
          <w:color w:val="auto"/>
          <w:sz w:val="24"/>
          <w:szCs w:val="24"/>
        </w:rPr>
        <w:t>①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课堂表现（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0%）：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通过学生在课堂上的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学习行为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表现、发言与提问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和回答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情况来评价学生相关的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素质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能力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eastAsia="zh-CN"/>
        </w:rPr>
        <w:t>。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包括学生的课堂发言能体现出家国情怀、社会责任、学科专业意识、世界观、人生价值观；学生的学习行为包括学习纪律、学习态度、学习兴趣、艺术创新精神和创新能力水平与终身学习意识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。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hint="default" w:ascii="Times" w:hAnsi="Times" w:eastAsia="宋体" w:cs="Times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②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  <w:lang w:val="en-US" w:eastAsia="zh-CN"/>
        </w:rPr>
        <w:t>课堂笔记或学习心得、小论文或分组评画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（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0%）：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围绕课程的学习目标进行作业的设计。如让学生简述对知识的认识，考核学生对于概念的理解情况，帮助学生将定义转化为自己的理解。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课堂笔记或学习心得可以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通过课堂片段展示与汇报，训练学生的课堂实践能力，使学生真正明确教学技能在实际教学中的应用，形成自己适合的教学风格；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分组评画发挥教师与学生的互动，综合师生意见对作品做出评价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③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  <w:lang w:val="en-US" w:eastAsia="zh-CN"/>
        </w:rPr>
        <w:t>课堂写生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作业完成情况（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eastAsia" w:ascii="Times" w:hAnsi="Times" w:eastAsia="宋体" w:cs="Times"/>
          <w:b/>
          <w:bCs/>
          <w:color w:val="auto"/>
          <w:kern w:val="0"/>
          <w:sz w:val="24"/>
          <w:szCs w:val="24"/>
        </w:rPr>
        <w:t>0%）：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通过对水彩人物的写生训练，考查学生对水彩人物表现技巧基本方法的掌握，能对人物情绪做深入的刻画来体现其内在的精神内涵和艺术价值。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kern w:val="0"/>
          <w:sz w:val="24"/>
          <w:szCs w:val="24"/>
        </w:rPr>
        <w:t>2.平时成绩评定标准</w:t>
      </w:r>
    </w:p>
    <w:p>
      <w:pPr>
        <w:snapToGrid w:val="0"/>
        <w:spacing w:line="400" w:lineRule="exact"/>
        <w:ind w:firstLine="422" w:firstLineChars="20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（1）平时成绩一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875"/>
        <w:gridCol w:w="1750"/>
        <w:gridCol w:w="1787"/>
        <w:gridCol w:w="1388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7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78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38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21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课堂纪律遵守与学习态度/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1"/>
                <w:szCs w:val="21"/>
              </w:rPr>
              <w:t>0%</w:t>
            </w:r>
          </w:p>
        </w:tc>
        <w:tc>
          <w:tcPr>
            <w:tcW w:w="1875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严格遵守课堂纪律，学习目标明确，状态投入认真，善于听取意见和建议，注重团队分组协作完成任务。</w:t>
            </w:r>
          </w:p>
        </w:tc>
        <w:tc>
          <w:tcPr>
            <w:tcW w:w="1750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较好的遵守课堂纪律，学习目标较为明确，状态投入较认真，角度选择较合理，不善于注重团队协作完成任务。</w:t>
            </w:r>
          </w:p>
        </w:tc>
        <w:tc>
          <w:tcPr>
            <w:tcW w:w="1787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遵守课堂纪律，学习目标不够清晰，状态投入一般，角度选择谁便，不善于听取意见和建议。</w:t>
            </w:r>
          </w:p>
        </w:tc>
        <w:tc>
          <w:tcPr>
            <w:tcW w:w="1388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课堂纪律遵守松散，学习目标不够明确，状态投入不够，课堂表现一般。</w:t>
            </w:r>
          </w:p>
        </w:tc>
        <w:tc>
          <w:tcPr>
            <w:tcW w:w="1219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不遵守课堂纪律，学习目标不明确，课堂写生实践整体情况较差。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课堂发言与讨论/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1"/>
                <w:szCs w:val="21"/>
              </w:rPr>
              <w:t>0%</w:t>
            </w:r>
          </w:p>
        </w:tc>
        <w:tc>
          <w:tcPr>
            <w:tcW w:w="1875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课堂发言积极上进，观点表达正确，问题讨论实践过程语言组织与表达能力强。</w:t>
            </w:r>
          </w:p>
        </w:tc>
        <w:tc>
          <w:tcPr>
            <w:tcW w:w="1750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课堂发言较为积极，观点表达较好，问题讨论语言组织与表达能力一般。</w:t>
            </w:r>
          </w:p>
        </w:tc>
        <w:tc>
          <w:tcPr>
            <w:tcW w:w="1787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课堂发言积极性一般，观点表达较完整，问题讨论语言组织与表达能力一般。</w:t>
            </w:r>
          </w:p>
        </w:tc>
        <w:tc>
          <w:tcPr>
            <w:tcW w:w="1388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课堂较少发言，提问、发言、讨论表达不够完整。</w:t>
            </w:r>
          </w:p>
        </w:tc>
        <w:tc>
          <w:tcPr>
            <w:tcW w:w="1219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不参与问题讨论。</w:t>
            </w:r>
          </w:p>
        </w:tc>
      </w:tr>
    </w:tbl>
    <w:p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（2） 平时成绩二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1887"/>
        <w:gridCol w:w="1850"/>
        <w:gridCol w:w="1600"/>
        <w:gridCol w:w="1450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88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8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60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45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20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学习心得/50%</w:t>
            </w:r>
          </w:p>
        </w:tc>
        <w:tc>
          <w:tcPr>
            <w:tcW w:w="1887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学习心得认识深刻，文本观点正确，对学习反思的理解透彻，文本结构脉络清晰。</w:t>
            </w:r>
          </w:p>
        </w:tc>
        <w:tc>
          <w:tcPr>
            <w:tcW w:w="1850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学习心得认识较深刻，文本重点较为突出，观点较为正确，学习反思的理解较为透彻。</w:t>
            </w:r>
          </w:p>
        </w:tc>
        <w:tc>
          <w:tcPr>
            <w:tcW w:w="1600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学习心得认识一般，观点阐述、反思能力较浅显，理解力一般。</w:t>
            </w:r>
          </w:p>
        </w:tc>
        <w:tc>
          <w:tcPr>
            <w:tcW w:w="1450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学习心得文本重点不突出，思路简单，反思理解能力较弱。</w:t>
            </w:r>
          </w:p>
        </w:tc>
        <w:tc>
          <w:tcPr>
            <w:tcW w:w="1207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学习心得文本潦草，思路凌乱，反思理解能力较弱。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作品赏析及分组评述/50%</w:t>
            </w:r>
          </w:p>
        </w:tc>
        <w:tc>
          <w:tcPr>
            <w:tcW w:w="1887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水彩基本理论有深刻认识，能积极参与评画互动活动，思路清晰，语言组织表达能力强，具备较佳的教师素养。</w:t>
            </w:r>
          </w:p>
        </w:tc>
        <w:tc>
          <w:tcPr>
            <w:tcW w:w="1850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水彩基本理论有较好认识，参与评画互动活动，思路较清晰，语言组织表达能力一般，具备教师仪态素养。</w:t>
            </w:r>
          </w:p>
        </w:tc>
        <w:tc>
          <w:tcPr>
            <w:tcW w:w="1600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水彩基本理论认识较浅，参与评画互动活动较少，语言组织表达能力不强，教师素养展现一般。</w:t>
            </w:r>
          </w:p>
        </w:tc>
        <w:tc>
          <w:tcPr>
            <w:tcW w:w="1450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参与评画互</w:t>
            </w:r>
            <w:bookmarkStart w:id="3" w:name="_GoBack"/>
            <w:bookmarkEnd w:id="3"/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动活动不积极，语言表达能力较弱，教师素养不够。</w:t>
            </w:r>
          </w:p>
        </w:tc>
        <w:tc>
          <w:tcPr>
            <w:tcW w:w="1207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不参与分组评画。</w:t>
            </w:r>
          </w:p>
        </w:tc>
      </w:tr>
    </w:tbl>
    <w:p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（3）平时成绩三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1875"/>
        <w:gridCol w:w="1838"/>
        <w:gridCol w:w="1662"/>
        <w:gridCol w:w="1325"/>
        <w:gridCol w:w="1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83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66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32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28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840"/>
              </w:tabs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人物构图、动态、特征表现/50%</w:t>
            </w:r>
          </w:p>
        </w:tc>
        <w:tc>
          <w:tcPr>
            <w:tcW w:w="1875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画面完整，构图合理，比例正确，空间透视正确，动态丰富，人物特点突出，画面主次明确，效果佳。</w:t>
            </w:r>
          </w:p>
        </w:tc>
        <w:tc>
          <w:tcPr>
            <w:tcW w:w="1838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画面完整，构图合理，造型比例较为正确，人物特征把握较好，画面效果较佳。</w:t>
            </w:r>
          </w:p>
        </w:tc>
        <w:tc>
          <w:tcPr>
            <w:tcW w:w="1662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画面较为完整，构图较为合理，人物特征、画面主次表现较好。</w:t>
            </w:r>
          </w:p>
        </w:tc>
        <w:tc>
          <w:tcPr>
            <w:tcW w:w="1325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画面完整度不高，比例不够准确，造型能力一般。</w:t>
            </w:r>
          </w:p>
        </w:tc>
        <w:tc>
          <w:tcPr>
            <w:tcW w:w="1282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造型能力差，画面不完整，造型能力差.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4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水彩人物画表现技巧与塑造/50%</w:t>
            </w:r>
          </w:p>
        </w:tc>
        <w:tc>
          <w:tcPr>
            <w:tcW w:w="1875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水彩技法娴熟，色调层次清晰，刻画深入，质感突出，内涵丰富，有较好的水彩语言表达，整体效果好。</w:t>
            </w:r>
          </w:p>
        </w:tc>
        <w:tc>
          <w:tcPr>
            <w:tcW w:w="1838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水彩技法表现娴熟，色调层次清晰，人物刻画深入，生动，整体效果较好。</w:t>
            </w:r>
          </w:p>
        </w:tc>
        <w:tc>
          <w:tcPr>
            <w:tcW w:w="1662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水彩表现技法较为娴熟，色调较清晰，刻画不够深入，人物刻画较深入。整体效果一般。</w:t>
            </w:r>
          </w:p>
        </w:tc>
        <w:tc>
          <w:tcPr>
            <w:tcW w:w="1325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水彩表现技法不熟练，色调层次不清晰，人物刻画能力不够，整体效果平淡。</w:t>
            </w:r>
          </w:p>
        </w:tc>
        <w:tc>
          <w:tcPr>
            <w:tcW w:w="1282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水彩表达能力差，色调层次混乱，人物刻画能力差，整体效果不佳。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kern w:val="0"/>
          <w:sz w:val="24"/>
          <w:szCs w:val="24"/>
        </w:rPr>
        <w:t>3</w:t>
      </w:r>
      <w:r>
        <w:rPr>
          <w:rFonts w:ascii="Times" w:hAnsi="Times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期末成绩评定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hint="eastAsia" w:ascii="Times" w:hAnsi="Times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期末成绩（100%）=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课堂写生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考核方式（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100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%）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hint="eastAsia" w:ascii="Times" w:hAnsi="Times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期末考试以随堂写生方式进行，分组进行模特写生。根据老师的写生内容、考试要求进行，材料为水彩纸(4K)，表现手法不限，在规定时间内完成写生作品。主要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考察学生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的构图、人物比例动态把握能力，肌理质感的塑造能力以及人物情感、情绪的表达能力。期末成绩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在成绩评价方式上，注重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考核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学生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的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动手能力和分析、解决问题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的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能力，关注学生个体差异，鼓励学生创新实践。任课教师根据学生的作业完成质量和评分标准进行成绩评定。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期末成绩评分标准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1938"/>
        <w:gridCol w:w="1762"/>
        <w:gridCol w:w="1575"/>
        <w:gridCol w:w="1373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" w:type="dxa"/>
            <w:shd w:val="clear" w:color="auto" w:fill="auto"/>
            <w:vAlign w:val="top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93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762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75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37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0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(x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default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水彩人物画表现技巧与艺术语言表达能力综合评测/100%</w:t>
            </w:r>
          </w:p>
        </w:tc>
        <w:tc>
          <w:tcPr>
            <w:tcW w:w="1938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画面构图合理，比例、空间透视关系正确，形体特点突出。水彩技法表现娴熟，色调层次清晰，人物刻画深入，质感突出，画面内涵丰富，有较好的水彩语言表达，整体感佳。</w:t>
            </w:r>
          </w:p>
        </w:tc>
        <w:tc>
          <w:tcPr>
            <w:tcW w:w="1762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画面构图合理，造型比例较为正确，人物特征          较突出，画面主次表现较佳。水彩表现技法较娴熟，色调层次丰富，刻画较为深入，质感较突出，整体较好。</w:t>
            </w:r>
          </w:p>
        </w:tc>
        <w:tc>
          <w:tcPr>
            <w:tcW w:w="1575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画面构图较为合理，人物特征、画面主次表现较好。水彩表现技法掌握较好，色调层次较清晰，质感刻画一般。整体效果一般。</w:t>
            </w:r>
          </w:p>
        </w:tc>
        <w:tc>
          <w:tcPr>
            <w:tcW w:w="1373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画面比例准确性不高，造型能力一般。水彩表现技法不够熟练，明暗层次不明确、刻画能力欠佳，整体感平淡。</w:t>
            </w:r>
          </w:p>
        </w:tc>
        <w:tc>
          <w:tcPr>
            <w:tcW w:w="1309" w:type="dxa"/>
            <w:shd w:val="clear" w:color="auto" w:fill="auto"/>
            <w:vAlign w:val="top"/>
          </w:tcPr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  <w:t>造型能力差，造型能力差，色调层次混乱，人物没有刻画能力，画面不完整，整体效果不佳。</w:t>
            </w:r>
          </w:p>
          <w:p>
            <w:pPr>
              <w:pStyle w:val="2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uppressAutoHyphens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61" w:beforeAutospacing="0" w:after="0" w:afterAutospacing="0" w:line="280" w:lineRule="exact"/>
              <w:ind w:left="42" w:leftChars="20" w:right="42" w:rightChars="20" w:firstLine="0" w:firstLine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/>
                <w:color w:val="auto"/>
                <w:spacing w:val="0"/>
                <w:w w:val="100"/>
                <w:kern w:val="0"/>
                <w:position w:val="0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kern w:val="0"/>
          <w:sz w:val="24"/>
          <w:szCs w:val="24"/>
        </w:rPr>
        <w:t>4</w:t>
      </w:r>
      <w:r>
        <w:rPr>
          <w:rFonts w:ascii="Times" w:hAnsi="Times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总成绩评定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hint="eastAsia" w:ascii="Times" w:hAnsi="Times" w:eastAsia="宋体" w:cs="Times"/>
          <w:color w:val="auto"/>
          <w:kern w:val="0"/>
          <w:sz w:val="24"/>
          <w:szCs w:val="24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总成绩由平时考核成绩和期末考核成绩构成，构成比例科学合理。总成绩（100%）=平时成绩（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30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%）+期末成绩（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70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%）（其中过程性成绩和期末成绩的比例由老师自己决定，但是各单项成绩必须超过 60%，且课程总成绩达标后才能算及格）。</w:t>
      </w:r>
    </w:p>
    <w:p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482" w:firstLineChars="200"/>
        <w:jc w:val="left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ascii="Times New Roman" w:hAnsi="Times New Roman" w:eastAsia="黑体" w:cs="Times New Roman"/>
          <w:b/>
          <w:kern w:val="0"/>
          <w:sz w:val="24"/>
          <w:szCs w:val="24"/>
        </w:rPr>
        <w:t>评分标准要求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hint="eastAsia" w:ascii="Times" w:hAnsi="Times" w:eastAsia="宋体" w:cs="Times"/>
          <w:color w:val="auto"/>
          <w:kern w:val="0"/>
          <w:sz w:val="24"/>
          <w:szCs w:val="24"/>
          <w:lang w:eastAsia="zh-CN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期末成绩（100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%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）=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画面和谐，构图合理（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0%）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+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造型生动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准确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，细节刻画到位，色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调和谐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（40%）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+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人物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特征突出，情感表达丰富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（20%）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+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水彩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画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语言探索有效果，画面氛围感好（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</w:rPr>
        <w:t>0%）</w:t>
      </w: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eastAsia="zh-CN"/>
        </w:rPr>
        <w:t>。</w:t>
      </w: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hint="default" w:ascii="Times New Roman" w:hAnsi="Times New Roman" w:eastAsia="黑体" w:cs="Times New Roman"/>
          <w:kern w:val="0"/>
        </w:rPr>
        <w:t>五、其他说明</w:t>
      </w:r>
    </w:p>
    <w:p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60" w:lineRule="exact"/>
        <w:ind w:firstLine="480" w:firstLineChars="200"/>
        <w:jc w:val="left"/>
        <w:textAlignment w:val="auto"/>
        <w:rPr>
          <w:rFonts w:ascii="Times New Roman" w:hAnsi="Times New Roman" w:cs="Times New Roman"/>
        </w:rPr>
      </w:pPr>
      <w:r>
        <w:rPr>
          <w:rFonts w:hint="eastAsia" w:ascii="Times" w:hAnsi="Times" w:eastAsia="宋体" w:cs="Times"/>
          <w:color w:val="auto"/>
          <w:kern w:val="0"/>
          <w:sz w:val="24"/>
          <w:szCs w:val="24"/>
          <w:lang w:val="en-US" w:eastAsia="zh-CN"/>
        </w:rPr>
        <w:t>本课程大纲依据2023版美术学专业人才培养方案，由美术学院（部）美术学教学系（教研室）讨论制定，美术学院（部）教学工作委员会审定，教务处审核批准，自2023级开始执行。</w: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0105" t="4445" r="6985" b="96520"/>
                <wp:wrapNone/>
                <wp:docPr id="2" name="线形标注 2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643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ILzn9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0105" t="4445" r="6985" b="96520"/>
                <wp:wrapNone/>
                <wp:docPr id="3" name="线形标注 2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540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FASH8R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0105" t="4445" r="6985" b="96520"/>
                <wp:wrapNone/>
                <wp:docPr id="8" name="线形标注 2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4384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MLCqIbYAAAADQEAAA8AAAAAAAAAAQAg&#10;AAAAIgAAAGRycy9kb3ducmV2LnhtbFBLAQIUABQAAAAIAIdO4kAA5sINgAIAAEAFAAAOAAAAAAAA&#10;AAEAIAAAACcBAABkcnMvZTJvRG9jLnhtbFBLBQYAAAAABgAGAFkBAAAZ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napToGrid w:val="0"/>
        <w:spacing w:line="400" w:lineRule="exac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6FA0E3F4-479C-494A-9345-D9A37CA20A8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0F0D6A6-AFDF-418C-AAE3-DD091016725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526CE1EF-AA27-40A1-A007-330CF2555FB9}"/>
  </w:font>
  <w:font w:name="明黑等宽">
    <w:altName w:val="黑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2C028CE1-D576-450A-807B-9FD485EC500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7F9AA6D7-CF77-4718-9B32-1E3768F9E9F4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  <w:embedRegular r:id="rId6" w:fontKey="{A45AE2D4-7D41-407D-AA9A-FD3A42F9361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7EB5CEA0-BC56-439C-B8EF-AF0D7A584D1A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8" w:fontKey="{19A35BD2-8721-493B-8FA1-FE7EC07E39F8}"/>
  </w:font>
  <w:font w:name="Hiragino Sans GB W6">
    <w:altName w:val="MS Gothic"/>
    <w:panose1 w:val="00000000000000000000"/>
    <w:charset w:val="80"/>
    <w:family w:val="swiss"/>
    <w:pitch w:val="default"/>
    <w:sig w:usb0="00000000" w:usb1="00000000" w:usb2="00000010" w:usb3="00000000" w:csb0="00020000" w:csb1="00000000"/>
    <w:embedRegular r:id="rId9" w:fontKey="{4E1CCF07-EC87-4BC6-BCF1-E066A01AA4D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8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8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CBD70A"/>
    <w:multiLevelType w:val="singleLevel"/>
    <w:tmpl w:val="12CBD70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mYjM4Y2Q2MWEwNTdmNDJiMzZlOTliZWVlYjFiNGYifQ=="/>
  </w:docVars>
  <w:rsids>
    <w:rsidRoot w:val="008F4441"/>
    <w:rsid w:val="00001AA7"/>
    <w:rsid w:val="000100C1"/>
    <w:rsid w:val="00085F49"/>
    <w:rsid w:val="000C5191"/>
    <w:rsid w:val="000D6B29"/>
    <w:rsid w:val="00105921"/>
    <w:rsid w:val="001C72BE"/>
    <w:rsid w:val="001D02A4"/>
    <w:rsid w:val="001D24B0"/>
    <w:rsid w:val="001F0978"/>
    <w:rsid w:val="0022263B"/>
    <w:rsid w:val="00241260"/>
    <w:rsid w:val="002D45DB"/>
    <w:rsid w:val="00300172"/>
    <w:rsid w:val="00317DE6"/>
    <w:rsid w:val="00341D5C"/>
    <w:rsid w:val="003708BC"/>
    <w:rsid w:val="003846C8"/>
    <w:rsid w:val="003C51E5"/>
    <w:rsid w:val="00400041"/>
    <w:rsid w:val="004770EC"/>
    <w:rsid w:val="004C400D"/>
    <w:rsid w:val="004F64DB"/>
    <w:rsid w:val="00530E74"/>
    <w:rsid w:val="00542479"/>
    <w:rsid w:val="005424AA"/>
    <w:rsid w:val="00544EAA"/>
    <w:rsid w:val="005538AE"/>
    <w:rsid w:val="006035BD"/>
    <w:rsid w:val="006B0D8B"/>
    <w:rsid w:val="006E0057"/>
    <w:rsid w:val="00755E85"/>
    <w:rsid w:val="00780250"/>
    <w:rsid w:val="007A2E5A"/>
    <w:rsid w:val="00814195"/>
    <w:rsid w:val="008F4441"/>
    <w:rsid w:val="00903BA2"/>
    <w:rsid w:val="00906786"/>
    <w:rsid w:val="009E23DE"/>
    <w:rsid w:val="009E69D5"/>
    <w:rsid w:val="00A0290A"/>
    <w:rsid w:val="00A02E2B"/>
    <w:rsid w:val="00A053C7"/>
    <w:rsid w:val="00A17432"/>
    <w:rsid w:val="00A23A71"/>
    <w:rsid w:val="00A90958"/>
    <w:rsid w:val="00AD3E5A"/>
    <w:rsid w:val="00AD5FBC"/>
    <w:rsid w:val="00C2471D"/>
    <w:rsid w:val="00C431A3"/>
    <w:rsid w:val="00C62061"/>
    <w:rsid w:val="00C67328"/>
    <w:rsid w:val="00CE18CA"/>
    <w:rsid w:val="00D150FB"/>
    <w:rsid w:val="00D30B38"/>
    <w:rsid w:val="00DA379C"/>
    <w:rsid w:val="00EC4EB7"/>
    <w:rsid w:val="00ED5A20"/>
    <w:rsid w:val="00F03B7C"/>
    <w:rsid w:val="00F47977"/>
    <w:rsid w:val="00F74935"/>
    <w:rsid w:val="00F856C2"/>
    <w:rsid w:val="00F93584"/>
    <w:rsid w:val="00FB1211"/>
    <w:rsid w:val="00FE1C84"/>
    <w:rsid w:val="00FF64D3"/>
    <w:rsid w:val="0136557F"/>
    <w:rsid w:val="014F6641"/>
    <w:rsid w:val="01C53654"/>
    <w:rsid w:val="03E017D2"/>
    <w:rsid w:val="03E42333"/>
    <w:rsid w:val="04446205"/>
    <w:rsid w:val="07E51AAD"/>
    <w:rsid w:val="08567D50"/>
    <w:rsid w:val="098F1CD1"/>
    <w:rsid w:val="09E04A7A"/>
    <w:rsid w:val="0A694E8C"/>
    <w:rsid w:val="0B116715"/>
    <w:rsid w:val="0CA77331"/>
    <w:rsid w:val="0DC91529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5406B61"/>
    <w:rsid w:val="16201F02"/>
    <w:rsid w:val="163C139B"/>
    <w:rsid w:val="163D406C"/>
    <w:rsid w:val="16B005DE"/>
    <w:rsid w:val="18041ADC"/>
    <w:rsid w:val="18CB084B"/>
    <w:rsid w:val="19BE21E6"/>
    <w:rsid w:val="1B1D4C62"/>
    <w:rsid w:val="1CBA6C0D"/>
    <w:rsid w:val="1F66526C"/>
    <w:rsid w:val="20AE6954"/>
    <w:rsid w:val="21874A34"/>
    <w:rsid w:val="21EE1107"/>
    <w:rsid w:val="233B65CE"/>
    <w:rsid w:val="235B6396"/>
    <w:rsid w:val="236C0269"/>
    <w:rsid w:val="239D7756"/>
    <w:rsid w:val="2415665F"/>
    <w:rsid w:val="24B44889"/>
    <w:rsid w:val="25ED50B4"/>
    <w:rsid w:val="2674607E"/>
    <w:rsid w:val="27EB4340"/>
    <w:rsid w:val="28243AD4"/>
    <w:rsid w:val="2A6D6A8C"/>
    <w:rsid w:val="2BF9180D"/>
    <w:rsid w:val="2C5D5807"/>
    <w:rsid w:val="2C6646BB"/>
    <w:rsid w:val="2C8A51B2"/>
    <w:rsid w:val="2C8C5EFD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5B467CF"/>
    <w:rsid w:val="36050807"/>
    <w:rsid w:val="365C5588"/>
    <w:rsid w:val="376D439E"/>
    <w:rsid w:val="3834566E"/>
    <w:rsid w:val="38A127D5"/>
    <w:rsid w:val="396446BF"/>
    <w:rsid w:val="39DD3FBF"/>
    <w:rsid w:val="3A541FF7"/>
    <w:rsid w:val="3AA765CB"/>
    <w:rsid w:val="3AEC0D6E"/>
    <w:rsid w:val="3B567FF1"/>
    <w:rsid w:val="3BBA0580"/>
    <w:rsid w:val="3DD27E02"/>
    <w:rsid w:val="3DF648D8"/>
    <w:rsid w:val="3EE31B9B"/>
    <w:rsid w:val="418D3B89"/>
    <w:rsid w:val="421B33FA"/>
    <w:rsid w:val="43985B28"/>
    <w:rsid w:val="459E681C"/>
    <w:rsid w:val="45E36925"/>
    <w:rsid w:val="464B19A0"/>
    <w:rsid w:val="465272DE"/>
    <w:rsid w:val="47BB0D03"/>
    <w:rsid w:val="48075EF5"/>
    <w:rsid w:val="48B620CF"/>
    <w:rsid w:val="493723E6"/>
    <w:rsid w:val="494E6C1D"/>
    <w:rsid w:val="4AD60806"/>
    <w:rsid w:val="4B0F469C"/>
    <w:rsid w:val="4B135DF2"/>
    <w:rsid w:val="4B2C0426"/>
    <w:rsid w:val="4C993E74"/>
    <w:rsid w:val="4D0A29E9"/>
    <w:rsid w:val="4F5F7983"/>
    <w:rsid w:val="50AE4F53"/>
    <w:rsid w:val="52BC29D7"/>
    <w:rsid w:val="52C52873"/>
    <w:rsid w:val="53A34B57"/>
    <w:rsid w:val="545E2DEB"/>
    <w:rsid w:val="54E63D3C"/>
    <w:rsid w:val="56151E85"/>
    <w:rsid w:val="56543D85"/>
    <w:rsid w:val="56DA16D1"/>
    <w:rsid w:val="5BE2723C"/>
    <w:rsid w:val="5C6171FB"/>
    <w:rsid w:val="5FAD406B"/>
    <w:rsid w:val="6192502F"/>
    <w:rsid w:val="63BE65AF"/>
    <w:rsid w:val="63E1404C"/>
    <w:rsid w:val="652A1A23"/>
    <w:rsid w:val="656071F2"/>
    <w:rsid w:val="66A82341"/>
    <w:rsid w:val="67C54DD0"/>
    <w:rsid w:val="68E5013A"/>
    <w:rsid w:val="696B14BD"/>
    <w:rsid w:val="6C0B610A"/>
    <w:rsid w:val="6D9D5488"/>
    <w:rsid w:val="70BC04CC"/>
    <w:rsid w:val="70C61997"/>
    <w:rsid w:val="711E68DF"/>
    <w:rsid w:val="724B3147"/>
    <w:rsid w:val="758A4BF7"/>
    <w:rsid w:val="761958C7"/>
    <w:rsid w:val="76417752"/>
    <w:rsid w:val="76A446E6"/>
    <w:rsid w:val="78690DCD"/>
    <w:rsid w:val="78F341AE"/>
    <w:rsid w:val="79570BE0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1"/>
    <w:pPr>
      <w:spacing w:before="61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unhideWhenUsed/>
    <w:qFormat/>
    <w:uiPriority w:val="99"/>
    <w:pPr>
      <w:jc w:val="left"/>
    </w:pPr>
  </w:style>
  <w:style w:type="paragraph" w:styleId="4">
    <w:name w:val="Body Text"/>
    <w:basedOn w:val="1"/>
    <w:link w:val="22"/>
    <w:autoRedefine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19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7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0"/>
    <w:autoRedefine/>
    <w:semiHidden/>
    <w:unhideWhenUsed/>
    <w:qFormat/>
    <w:uiPriority w:val="99"/>
    <w:rPr>
      <w:b/>
      <w:bCs/>
    </w:rPr>
  </w:style>
  <w:style w:type="table" w:styleId="11">
    <w:name w:val="Table Grid"/>
    <w:basedOn w:val="10"/>
    <w:autoRedefine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">
    <w:name w:val="Strong"/>
    <w:basedOn w:val="12"/>
    <w:autoRedefine/>
    <w:qFormat/>
    <w:uiPriority w:val="99"/>
    <w:rPr>
      <w:rFonts w:cs="Times New Roman"/>
      <w:b/>
    </w:rPr>
  </w:style>
  <w:style w:type="character" w:styleId="14">
    <w:name w:val="annotation reference"/>
    <w:basedOn w:val="12"/>
    <w:autoRedefine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sz w:val="18"/>
      <w:szCs w:val="18"/>
    </w:rPr>
  </w:style>
  <w:style w:type="character" w:customStyle="1" w:styleId="17">
    <w:name w:val="标题 Char"/>
    <w:basedOn w:val="12"/>
    <w:link w:val="8"/>
    <w:autoRedefine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批注文字 Char"/>
    <w:basedOn w:val="12"/>
    <w:link w:val="3"/>
    <w:autoRedefine/>
    <w:qFormat/>
    <w:uiPriority w:val="99"/>
  </w:style>
  <w:style w:type="character" w:customStyle="1" w:styleId="19">
    <w:name w:val="批注框文本 Char"/>
    <w:basedOn w:val="12"/>
    <w:link w:val="5"/>
    <w:autoRedefine/>
    <w:semiHidden/>
    <w:qFormat/>
    <w:uiPriority w:val="99"/>
    <w:rPr>
      <w:sz w:val="18"/>
      <w:szCs w:val="18"/>
    </w:rPr>
  </w:style>
  <w:style w:type="character" w:customStyle="1" w:styleId="20">
    <w:name w:val="批注主题 Char"/>
    <w:basedOn w:val="18"/>
    <w:link w:val="9"/>
    <w:autoRedefine/>
    <w:semiHidden/>
    <w:qFormat/>
    <w:uiPriority w:val="99"/>
    <w:rPr>
      <w:b/>
      <w:bCs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正文文本 Char"/>
    <w:basedOn w:val="12"/>
    <w:link w:val="4"/>
    <w:autoRedefine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3">
    <w:name w:val="在表格内文字"/>
    <w:basedOn w:val="1"/>
    <w:autoRedefine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4">
    <w:name w:val="Table Paragraph"/>
    <w:autoRedefine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  <w:style w:type="paragraph" w:customStyle="1" w:styleId="25">
    <w:name w:val="Heading 2"/>
    <w:basedOn w:val="1"/>
    <w:autoRedefine/>
    <w:qFormat/>
    <w:uiPriority w:val="0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 w:val="0"/>
      <w:autoSpaceDN w:val="0"/>
      <w:adjustRightInd w:val="0"/>
      <w:snapToGrid/>
      <w:spacing w:before="61" w:beforeAutospacing="0" w:after="0" w:afterAutospacing="0" w:line="240" w:lineRule="auto"/>
      <w:ind w:left="642" w:right="0" w:firstLine="0"/>
      <w:jc w:val="left"/>
      <w:textAlignment w:val="auto"/>
      <w:outlineLvl w:val="1"/>
    </w:pPr>
    <w:rPr>
      <w:rFonts w:ascii="明黑等宽" w:eastAsia="明黑等宽" w:cs="明黑等宽"/>
      <w:b/>
      <w:bCs/>
      <w:snapToGrid/>
      <w:color w:val="auto"/>
      <w:spacing w:val="0"/>
      <w:w w:val="100"/>
      <w:kern w:val="0"/>
      <w:position w:val="0"/>
      <w:sz w:val="28"/>
      <w:szCs w:val="28"/>
      <w:u w:val="none" w:color="auto"/>
      <w:vertAlign w:val="baseli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8</Pages>
  <Words>586</Words>
  <Characters>3345</Characters>
  <Lines>27</Lines>
  <Paragraphs>7</Paragraphs>
  <TotalTime>0</TotalTime>
  <ScaleCrop>false</ScaleCrop>
  <LinksUpToDate>false</LinksUpToDate>
  <CharactersWithSpaces>3924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流年…</cp:lastModifiedBy>
  <cp:lastPrinted>2023-06-29T08:57:00Z</cp:lastPrinted>
  <dcterms:modified xsi:type="dcterms:W3CDTF">2024-03-20T01:19:59Z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C370BD51641049BE9E062DE0F2129E7B_12</vt:lpwstr>
  </property>
</Properties>
</file>