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A36CA">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3E993A35">
                            <w:pPr>
                              <w:rPr>
                                <w:b/>
                                <w:color w:val="FF0000"/>
                              </w:rPr>
                            </w:pPr>
                            <w:r>
                              <w:rPr>
                                <w:rFonts w:hint="eastAsia"/>
                                <w:b/>
                                <w:color w:val="FF0000"/>
                              </w:rPr>
                              <w:t>字体、字号请参考范例</w:t>
                            </w:r>
                          </w:p>
                          <w:p w14:paraId="3C67BC9B">
                            <w:pPr>
                              <w:rPr>
                                <w:b/>
                                <w:color w:val="FF0000"/>
                              </w:rPr>
                            </w:pPr>
                            <w:r>
                              <w:rPr>
                                <w:rFonts w:hint="eastAsia"/>
                                <w:b/>
                                <w:color w:val="FF0000"/>
                              </w:rPr>
                              <w:t>注意：</w:t>
                            </w:r>
                          </w:p>
                          <w:p w14:paraId="2CD7944D">
                            <w:pPr>
                              <w:rPr>
                                <w:b/>
                                <w:color w:val="FF0000"/>
                              </w:rPr>
                            </w:pPr>
                            <w:r>
                              <w:rPr>
                                <w:rFonts w:hint="eastAsia"/>
                                <w:b/>
                                <w:color w:val="FF0000"/>
                              </w:rPr>
                              <w:t>首字母大写</w:t>
                            </w:r>
                          </w:p>
                          <w:p w14:paraId="046F930E">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14:paraId="3E993A35">
                      <w:pPr>
                        <w:rPr>
                          <w:b/>
                          <w:color w:val="FF0000"/>
                        </w:rPr>
                      </w:pPr>
                      <w:r>
                        <w:rPr>
                          <w:rFonts w:hint="eastAsia"/>
                          <w:b/>
                          <w:color w:val="FF0000"/>
                        </w:rPr>
                        <w:t>字体、字号请参考范例</w:t>
                      </w:r>
                    </w:p>
                    <w:p w14:paraId="3C67BC9B">
                      <w:pPr>
                        <w:rPr>
                          <w:b/>
                          <w:color w:val="FF0000"/>
                        </w:rPr>
                      </w:pPr>
                      <w:r>
                        <w:rPr>
                          <w:rFonts w:hint="eastAsia"/>
                          <w:b/>
                          <w:color w:val="FF0000"/>
                        </w:rPr>
                        <w:t>注意：</w:t>
                      </w:r>
                    </w:p>
                    <w:p w14:paraId="2CD7944D">
                      <w:pPr>
                        <w:rPr>
                          <w:b/>
                          <w:color w:val="FF0000"/>
                        </w:rPr>
                      </w:pPr>
                      <w:r>
                        <w:rPr>
                          <w:rFonts w:hint="eastAsia"/>
                          <w:b/>
                          <w:color w:val="FF0000"/>
                        </w:rPr>
                        <w:t>首字母大写</w:t>
                      </w:r>
                    </w:p>
                    <w:p w14:paraId="046F930E">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套色木刻创作</w:t>
      </w:r>
      <w:r>
        <w:rPr>
          <w:rFonts w:ascii="Times New Roman" w:hAnsi="Times New Roman" w:eastAsia="黑体" w:cs="Times New Roman"/>
          <w:b/>
          <w:kern w:val="0"/>
          <w:sz w:val="32"/>
          <w:szCs w:val="32"/>
        </w:rPr>
        <w:t>》实验课程教学大纲</w:t>
      </w:r>
    </w:p>
    <w:p w14:paraId="06D95794">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1"/>
        <w:tblpPr w:leftFromText="180" w:rightFromText="180" w:vertAnchor="text" w:horzAnchor="margin" w:tblpXSpec="center" w:tblpY="15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894"/>
        <w:gridCol w:w="1231"/>
        <w:gridCol w:w="59"/>
        <w:gridCol w:w="1231"/>
        <w:gridCol w:w="269"/>
        <w:gridCol w:w="420"/>
        <w:gridCol w:w="487"/>
        <w:gridCol w:w="860"/>
        <w:gridCol w:w="1366"/>
      </w:tblGrid>
      <w:tr w14:paraId="6FC356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0" w:type="pct"/>
            <w:vAlign w:val="center"/>
          </w:tcPr>
          <w:p w14:paraId="0EB0CCA2">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9" w:type="pct"/>
            <w:gridSpan w:val="9"/>
            <w:vAlign w:val="center"/>
          </w:tcPr>
          <w:p w14:paraId="0BCFDE06">
            <w:pPr>
              <w:jc w:val="center"/>
              <w:rPr>
                <w:rFonts w:hint="eastAsia" w:ascii="Times New Roman" w:hAnsi="Times New Roman" w:eastAsia="宋体" w:cs="Times New Roman"/>
                <w:szCs w:val="21"/>
                <w:lang w:eastAsia="zh-CN"/>
              </w:rPr>
            </w:pPr>
            <w:r>
              <w:rPr>
                <w:rFonts w:hAnsi="宋体" w:cs="宋体"/>
                <w:bCs/>
                <w:color w:val="000000"/>
                <w:sz w:val="24"/>
              </w:rPr>
              <w:t>版画（套色木刻</w:t>
            </w:r>
            <w:r>
              <w:rPr>
                <w:rFonts w:hint="eastAsia" w:hAnsi="宋体" w:cs="宋体"/>
                <w:bCs/>
                <w:color w:val="000000"/>
                <w:sz w:val="24"/>
                <w:lang w:val="en-US" w:eastAsia="zh-CN"/>
              </w:rPr>
              <w:t>创作</w:t>
            </w:r>
            <w:r>
              <w:rPr>
                <w:rFonts w:hAnsi="宋体" w:cs="宋体"/>
                <w:bCs/>
                <w:color w:val="000000"/>
                <w:sz w:val="24"/>
              </w:rPr>
              <w:t>）</w:t>
            </w:r>
          </w:p>
        </w:tc>
      </w:tr>
      <w:tr w14:paraId="756E9A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0" w:type="pct"/>
            <w:vAlign w:val="center"/>
          </w:tcPr>
          <w:p w14:paraId="13929E0E">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14:paraId="0FACCF3A">
            <w:pPr>
              <w:jc w:val="center"/>
              <w:rPr>
                <w:rFonts w:ascii="Times New Roman" w:hAnsi="Times New Roman" w:eastAsia="宋体" w:cs="Times New Roman"/>
                <w:szCs w:val="21"/>
              </w:rPr>
            </w:pPr>
            <w:r>
              <w:rPr>
                <w:rFonts w:hint="eastAsia" w:ascii="Times New Roman" w:hAnsi="Times New Roman" w:eastAsia="宋体" w:cs="Times New Roman"/>
                <w:szCs w:val="21"/>
              </w:rPr>
              <w:t>Fundamentals of Oil Painting</w:t>
            </w:r>
          </w:p>
        </w:tc>
        <w:tc>
          <w:tcPr>
            <w:tcW w:w="725" w:type="pct"/>
            <w:gridSpan w:val="2"/>
            <w:vAlign w:val="center"/>
          </w:tcPr>
          <w:p w14:paraId="71543552">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4" w:type="pct"/>
            <w:vAlign w:val="center"/>
          </w:tcPr>
          <w:p w14:paraId="70D2F173">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14:paraId="67F34D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90" w:type="pct"/>
            <w:vAlign w:val="center"/>
          </w:tcPr>
          <w:p w14:paraId="3EE95613">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14:paraId="260AB776">
            <w:pPr>
              <w:jc w:val="center"/>
              <w:rPr>
                <w:rFonts w:ascii="Times New Roman" w:hAnsi="Times New Roman" w:eastAsia="宋体" w:cs="Times New Roman"/>
                <w:szCs w:val="21"/>
              </w:rPr>
            </w:pPr>
            <w:r>
              <w:rPr>
                <w:rFonts w:hint="default" w:ascii="宋体" w:hAnsi="宋体" w:eastAsia="宋体" w:cs="宋体"/>
                <w:szCs w:val="21"/>
              </w:rPr>
              <w:t>1311252</w:t>
            </w:r>
            <w:r>
              <w:rPr>
                <w:rFonts w:hint="eastAsia" w:ascii="宋体" w:hAnsi="宋体" w:eastAsia="宋体" w:cs="宋体"/>
                <w:szCs w:val="21"/>
                <w:lang w:val="en-US" w:eastAsia="zh-CN"/>
              </w:rPr>
              <w:t>9</w:t>
            </w:r>
          </w:p>
        </w:tc>
        <w:tc>
          <w:tcPr>
            <w:tcW w:w="695" w:type="pct"/>
            <w:gridSpan w:val="2"/>
            <w:vAlign w:val="center"/>
          </w:tcPr>
          <w:p w14:paraId="4E22FC77">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3" w:type="pct"/>
            <w:vAlign w:val="center"/>
          </w:tcPr>
          <w:p w14:paraId="6680B869">
            <w:pPr>
              <w:jc w:val="center"/>
              <w:rPr>
                <w:rFonts w:ascii="Times New Roman" w:hAnsi="Times New Roman" w:eastAsia="宋体" w:cs="Times New Roman"/>
                <w:szCs w:val="21"/>
              </w:rPr>
            </w:pPr>
            <w:r>
              <w:rPr>
                <w:rFonts w:hint="default" w:ascii="宋体" w:hAnsi="宋体" w:eastAsia="宋体" w:cs="宋体"/>
                <w:szCs w:val="21"/>
              </w:rPr>
              <w:t xml:space="preserve">2.5 </w:t>
            </w:r>
          </w:p>
        </w:tc>
        <w:tc>
          <w:tcPr>
            <w:tcW w:w="633" w:type="pct"/>
            <w:gridSpan w:val="3"/>
            <w:vAlign w:val="center"/>
          </w:tcPr>
          <w:p w14:paraId="441F3848">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5" w:type="pct"/>
            <w:gridSpan w:val="2"/>
            <w:vAlign w:val="center"/>
          </w:tcPr>
          <w:p w14:paraId="40BA1BB7">
            <w:pPr>
              <w:jc w:val="center"/>
              <w:rPr>
                <w:rFonts w:ascii="Times New Roman" w:hAnsi="Times New Roman" w:eastAsia="宋体" w:cs="Times New Roman"/>
                <w:szCs w:val="21"/>
              </w:rPr>
            </w:pPr>
            <w:r>
              <w:rPr>
                <w:rFonts w:hint="eastAsia" w:ascii="宋体" w:hAnsi="宋体" w:eastAsia="宋体" w:cs="宋体"/>
                <w:szCs w:val="21"/>
                <w:lang w:val="en-US" w:eastAsia="zh-CN"/>
              </w:rPr>
              <w:t>60</w:t>
            </w:r>
            <w:bookmarkStart w:id="0" w:name="_GoBack"/>
            <w:bookmarkEnd w:id="0"/>
            <w:r>
              <w:rPr>
                <w:rFonts w:hAnsi="宋体" w:cs="宋体"/>
                <w:color w:val="000000"/>
                <w:sz w:val="24"/>
                <w:szCs w:val="24"/>
              </w:rPr>
              <w:t xml:space="preserve"> </w:t>
            </w:r>
          </w:p>
        </w:tc>
      </w:tr>
      <w:tr w14:paraId="4619A6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14:paraId="230B00F8">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14:paraId="21A9CF12">
            <w:pPr>
              <w:adjustRightInd w:val="0"/>
              <w:snapToGrid w:val="0"/>
              <w:spacing w:line="300" w:lineRule="exact"/>
              <w:jc w:val="left"/>
              <w:rPr>
                <w:rFonts w:ascii="宋体" w:hAnsi="宋体" w:eastAsia="宋体" w:cs="宋体"/>
                <w:szCs w:val="21"/>
              </w:rPr>
            </w:pPr>
            <w:r>
              <w:rPr>
                <w:rFonts w:hint="eastAsia" w:ascii="宋体" w:hAnsi="宋体" w:eastAsia="宋体" w:cs="宋体"/>
                <w:b/>
                <w:szCs w:val="21"/>
                <w:lang w:eastAsia="zh-CN"/>
              </w:rPr>
              <w:t>□</w:t>
            </w:r>
            <w:r>
              <w:rPr>
                <w:rFonts w:hint="eastAsia" w:ascii="宋体" w:hAnsi="宋体" w:eastAsia="宋体" w:cs="宋体"/>
                <w:szCs w:val="21"/>
              </w:rPr>
              <w:t>专业基础课程</w:t>
            </w:r>
          </w:p>
          <w:p w14:paraId="6B6CD623">
            <w:pPr>
              <w:adjustRightInd w:val="0"/>
              <w:snapToGrid w:val="0"/>
              <w:spacing w:line="300" w:lineRule="exact"/>
              <w:jc w:val="left"/>
              <w:rPr>
                <w:rFonts w:ascii="宋体" w:hAnsi="宋体" w:eastAsia="宋体" w:cs="宋体"/>
                <w:szCs w:val="21"/>
              </w:rPr>
            </w:pPr>
            <w:r>
              <w:rPr>
                <w:rFonts w:hint="eastAsia" w:ascii="宋体" w:hAnsi="宋体" w:eastAsia="宋体" w:cs="宋体"/>
                <w:b/>
                <w:szCs w:val="21"/>
                <w:lang w:eastAsia="zh-CN"/>
              </w:rPr>
              <w:t>☑</w:t>
            </w:r>
            <w:r>
              <w:rPr>
                <w:rFonts w:hint="eastAsia" w:ascii="宋体" w:hAnsi="宋体" w:eastAsia="宋体" w:cs="宋体"/>
                <w:szCs w:val="21"/>
              </w:rPr>
              <w:t>专业核心课程</w:t>
            </w:r>
          </w:p>
          <w:p w14:paraId="32DD362B">
            <w:pPr>
              <w:adjustRightInd w:val="0"/>
              <w:snapToGrid w:val="0"/>
              <w:spacing w:line="300" w:lineRule="exact"/>
              <w:jc w:val="left"/>
              <w:rPr>
                <w:rFonts w:ascii="宋体" w:hAnsi="宋体" w:eastAsia="宋体" w:cs="宋体"/>
                <w:szCs w:val="21"/>
              </w:rPr>
            </w:pPr>
            <w:r>
              <w:rPr>
                <w:rFonts w:hint="eastAsia" w:ascii="宋体" w:hAnsi="宋体" w:eastAsia="宋体" w:cs="宋体"/>
                <w:b/>
                <w:szCs w:val="21"/>
                <w:lang w:eastAsia="zh-CN"/>
              </w:rPr>
              <w:t>□</w:t>
            </w:r>
            <w:r>
              <w:rPr>
                <w:rFonts w:hint="eastAsia" w:ascii="宋体" w:hAnsi="宋体" w:eastAsia="宋体" w:cs="宋体"/>
                <w:szCs w:val="21"/>
              </w:rPr>
              <w:t>专业选修课程</w:t>
            </w:r>
          </w:p>
          <w:p w14:paraId="30003A57">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lang w:eastAsia="zh-CN"/>
              </w:rPr>
              <w:t>□</w:t>
            </w:r>
            <w:r>
              <w:rPr>
                <w:rFonts w:hint="eastAsia" w:ascii="宋体" w:hAnsi="宋体" w:eastAsia="宋体" w:cs="宋体"/>
                <w:szCs w:val="21"/>
              </w:rPr>
              <w:t>其他</w:t>
            </w:r>
          </w:p>
        </w:tc>
        <w:tc>
          <w:tcPr>
            <w:tcW w:w="695" w:type="pct"/>
            <w:gridSpan w:val="2"/>
            <w:vAlign w:val="center"/>
          </w:tcPr>
          <w:p w14:paraId="5BC91520">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3" w:type="pct"/>
            <w:vAlign w:val="center"/>
          </w:tcPr>
          <w:p w14:paraId="6E4889AA">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lang w:eastAsia="zh-CN"/>
              </w:rPr>
              <w:t>☑</w:t>
            </w:r>
            <w:r>
              <w:rPr>
                <w:rFonts w:hint="eastAsia" w:ascii="宋体" w:hAnsi="宋体" w:eastAsia="宋体" w:cs="宋体"/>
                <w:bCs/>
                <w:szCs w:val="21"/>
              </w:rPr>
              <w:t>必修</w:t>
            </w:r>
          </w:p>
          <w:p w14:paraId="2D5DFAB9">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lang w:eastAsia="zh-CN"/>
              </w:rPr>
              <w:t>□</w:t>
            </w:r>
            <w:r>
              <w:rPr>
                <w:rFonts w:hint="eastAsia" w:ascii="宋体" w:hAnsi="宋体" w:eastAsia="宋体" w:cs="宋体"/>
                <w:bCs/>
                <w:szCs w:val="21"/>
              </w:rPr>
              <w:t>选修</w:t>
            </w:r>
          </w:p>
          <w:p w14:paraId="1CF11063">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3" w:type="pct"/>
            <w:gridSpan w:val="3"/>
            <w:vAlign w:val="center"/>
          </w:tcPr>
          <w:p w14:paraId="5C62FA84">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5" w:type="pct"/>
            <w:gridSpan w:val="2"/>
            <w:vAlign w:val="center"/>
          </w:tcPr>
          <w:p w14:paraId="7803E62B">
            <w:pPr>
              <w:snapToGrid w:val="0"/>
              <w:spacing w:line="400" w:lineRule="exact"/>
              <w:rPr>
                <w:rFonts w:hAnsi="宋体"/>
                <w:szCs w:val="21"/>
              </w:rPr>
            </w:pPr>
            <w:r>
              <w:rPr>
                <w:rFonts w:hint="eastAsia" w:hAnsi="宋体"/>
                <w:szCs w:val="21"/>
                <w:lang w:bidi="ar"/>
              </w:rPr>
              <w:t>□线上</w:t>
            </w:r>
          </w:p>
          <w:p w14:paraId="330C9BA0">
            <w:pPr>
              <w:snapToGrid w:val="0"/>
              <w:spacing w:line="400" w:lineRule="exact"/>
              <w:rPr>
                <w:rFonts w:hAnsi="宋体"/>
                <w:szCs w:val="21"/>
              </w:rPr>
            </w:pPr>
            <w:r>
              <w:rPr>
                <w:rFonts w:hint="eastAsia" w:ascii="宋体" w:hAnsi="宋体" w:eastAsia="宋体" w:cs="宋体"/>
                <w:bCs/>
                <w:szCs w:val="21"/>
                <w:lang w:eastAsia="zh-CN"/>
              </w:rPr>
              <w:t>☑</w:t>
            </w:r>
            <w:r>
              <w:rPr>
                <w:rFonts w:hint="eastAsia" w:hAnsi="宋体"/>
                <w:szCs w:val="21"/>
                <w:lang w:bidi="ar"/>
              </w:rPr>
              <w:t>线下</w:t>
            </w:r>
          </w:p>
          <w:p w14:paraId="35862097">
            <w:pPr>
              <w:snapToGrid w:val="0"/>
              <w:spacing w:line="400" w:lineRule="exact"/>
              <w:rPr>
                <w:rFonts w:hAnsi="宋体"/>
                <w:szCs w:val="21"/>
              </w:rPr>
            </w:pPr>
            <w:r>
              <w:rPr>
                <w:rFonts w:hint="eastAsia" w:hAnsi="宋体"/>
                <w:szCs w:val="21"/>
                <w:lang w:bidi="ar"/>
              </w:rPr>
              <w:t>□线上线下混合式</w:t>
            </w:r>
          </w:p>
          <w:p w14:paraId="13A8B1C7">
            <w:pPr>
              <w:snapToGrid w:val="0"/>
              <w:spacing w:line="400" w:lineRule="exact"/>
              <w:rPr>
                <w:rFonts w:hAnsi="宋体"/>
                <w:szCs w:val="21"/>
                <w:lang w:bidi="ar"/>
              </w:rPr>
            </w:pPr>
            <w:r>
              <w:rPr>
                <w:rFonts w:hint="eastAsia" w:hAnsi="宋体"/>
                <w:szCs w:val="21"/>
                <w:lang w:bidi="ar"/>
              </w:rPr>
              <w:t>□社会实践</w:t>
            </w:r>
          </w:p>
          <w:p w14:paraId="33835C8D">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14:paraId="4873D0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14:paraId="42646A63">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9" w:type="pct"/>
            <w:gridSpan w:val="9"/>
            <w:vAlign w:val="center"/>
          </w:tcPr>
          <w:p w14:paraId="070184E8">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开卷  </w:t>
            </w:r>
            <w:r>
              <w:rPr>
                <w:rFonts w:hint="eastAsia" w:ascii="宋体" w:hAnsi="宋体" w:eastAsia="宋体" w:cs="宋体"/>
                <w:szCs w:val="21"/>
                <w:lang w:eastAsia="zh-CN" w:bidi="ar"/>
              </w:rPr>
              <w:t>□</w:t>
            </w:r>
            <w:r>
              <w:rPr>
                <w:rFonts w:hint="eastAsia" w:ascii="宋体" w:hAnsi="宋体" w:eastAsia="宋体" w:cs="宋体"/>
                <w:szCs w:val="21"/>
                <w:lang w:bidi="ar"/>
              </w:rPr>
              <w:t xml:space="preserve">课程论文 </w:t>
            </w:r>
            <w:r>
              <w:rPr>
                <w:rFonts w:hint="eastAsia" w:ascii="宋体" w:hAnsi="宋体" w:eastAsia="宋体" w:cs="宋体"/>
                <w:szCs w:val="21"/>
                <w:lang w:bidi="ar"/>
              </w:rPr>
              <w:sym w:font="Wingdings 2" w:char="0052"/>
            </w:r>
            <w:r>
              <w:rPr>
                <w:rFonts w:hint="eastAsia" w:ascii="宋体" w:hAnsi="宋体" w:eastAsia="宋体" w:cs="宋体"/>
                <w:szCs w:val="21"/>
                <w:lang w:bidi="ar"/>
              </w:rPr>
              <w:t xml:space="preserve">课程作品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14:paraId="53C28963">
            <w:pPr>
              <w:rPr>
                <w:rFonts w:ascii="Times New Roman" w:hAnsi="Times New Roman" w:eastAsia="宋体" w:cs="Times New Roman"/>
                <w:kern w:val="2"/>
                <w:sz w:val="21"/>
                <w:szCs w:val="21"/>
                <w:lang w:val="en-US" w:eastAsia="zh-CN" w:bidi="ar-SA"/>
              </w:rPr>
            </w:pPr>
            <w:r>
              <w:rPr>
                <w:rFonts w:hint="eastAsia" w:ascii="宋体" w:hAnsi="宋体" w:eastAsia="宋体" w:cs="宋体"/>
                <w:szCs w:val="21"/>
                <w:lang w:bidi="ar"/>
              </w:rPr>
              <w:sym w:font="Wingdings 2" w:char="0052"/>
            </w:r>
            <w:r>
              <w:rPr>
                <w:rFonts w:hint="eastAsia" w:ascii="宋体" w:hAnsi="宋体" w:eastAsia="宋体" w:cs="宋体"/>
                <w:szCs w:val="21"/>
                <w:lang w:bidi="ar"/>
              </w:rPr>
              <w:t xml:space="preserve">课堂表现  </w:t>
            </w:r>
            <w:r>
              <w:rPr>
                <w:rFonts w:hint="eastAsia" w:ascii="宋体" w:hAnsi="宋体" w:eastAsia="宋体" w:cs="宋体"/>
                <w:szCs w:val="21"/>
                <w:lang w:bidi="ar"/>
              </w:rPr>
              <w:sym w:font="Wingdings 2" w:char="0052"/>
            </w:r>
            <w:r>
              <w:rPr>
                <w:rFonts w:hint="eastAsia" w:ascii="宋体" w:hAnsi="宋体" w:eastAsia="宋体" w:cs="宋体"/>
                <w:szCs w:val="21"/>
                <w:lang w:bidi="ar"/>
              </w:rPr>
              <w:t xml:space="preserve">阶段性测试  </w:t>
            </w:r>
            <w:r>
              <w:rPr>
                <w:rFonts w:hint="eastAsia" w:ascii="宋体" w:hAnsi="宋体" w:eastAsia="宋体" w:cs="宋体"/>
                <w:szCs w:val="21"/>
                <w:lang w:bidi="ar"/>
              </w:rPr>
              <w:sym w:font="Wingdings 2" w:char="0052"/>
            </w:r>
            <w:r>
              <w:rPr>
                <w:rFonts w:hint="eastAsia" w:ascii="宋体" w:hAnsi="宋体" w:eastAsia="宋体" w:cs="宋体"/>
                <w:szCs w:val="21"/>
                <w:lang w:bidi="ar"/>
              </w:rPr>
              <w:t xml:space="preserve">平时作业   </w:t>
            </w:r>
            <w:r>
              <w:rPr>
                <w:rFonts w:hint="eastAsia" w:ascii="宋体" w:hAnsi="宋体" w:eastAsia="宋体" w:cs="宋体"/>
                <w:szCs w:val="21"/>
                <w:lang w:bidi="ar"/>
              </w:rPr>
              <w:sym w:font="Wingdings 2" w:char="00A3"/>
            </w:r>
            <w:r>
              <w:rPr>
                <w:rFonts w:hint="eastAsia" w:ascii="宋体" w:hAnsi="宋体" w:eastAsia="宋体" w:cs="宋体"/>
                <w:szCs w:val="21"/>
                <w:lang w:bidi="ar"/>
              </w:rPr>
              <w:t>其他</w:t>
            </w:r>
            <w:r>
              <w:rPr>
                <w:rFonts w:hint="eastAsia" w:hAnsi="宋体"/>
                <w:szCs w:val="21"/>
                <w:lang w:bidi="ar"/>
              </w:rPr>
              <w:t>（可多选）</w:t>
            </w:r>
          </w:p>
        </w:tc>
      </w:tr>
      <w:tr w14:paraId="1E8FF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14:paraId="5B68569D">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14:paraId="1190B84D">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0" w:type="pct"/>
            <w:gridSpan w:val="3"/>
            <w:vAlign w:val="center"/>
          </w:tcPr>
          <w:p w14:paraId="66A10DE1">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0908E598">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4" w:type="pct"/>
            <w:gridSpan w:val="4"/>
            <w:vAlign w:val="center"/>
          </w:tcPr>
          <w:p w14:paraId="650B67AD">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14:paraId="68C2E8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90" w:type="pct"/>
            <w:vAlign w:val="center"/>
          </w:tcPr>
          <w:p w14:paraId="48680C65">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14:paraId="22B87B3A">
            <w:pPr>
              <w:jc w:val="center"/>
              <w:rPr>
                <w:rFonts w:ascii="Times New Roman" w:hAnsi="Times New Roman" w:eastAsia="宋体" w:cs="Times New Roman"/>
                <w:b/>
                <w:szCs w:val="21"/>
              </w:rPr>
            </w:pPr>
            <w:r>
              <w:rPr>
                <w:rFonts w:hint="eastAsia" w:ascii="Times New Roman" w:hAnsi="Times New Roman" w:eastAsia="宋体" w:cs="Times New Roman"/>
                <w:szCs w:val="21"/>
              </w:rPr>
              <w:t>美术学（师范）</w:t>
            </w:r>
          </w:p>
        </w:tc>
        <w:tc>
          <w:tcPr>
            <w:tcW w:w="840" w:type="pct"/>
            <w:gridSpan w:val="3"/>
            <w:vAlign w:val="center"/>
          </w:tcPr>
          <w:p w14:paraId="4A213C83">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4" w:type="pct"/>
            <w:gridSpan w:val="4"/>
            <w:vAlign w:val="center"/>
          </w:tcPr>
          <w:p w14:paraId="7FA3FAC7">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6</w:t>
            </w:r>
            <w:r>
              <w:rPr>
                <w:rFonts w:ascii="Times New Roman" w:hAnsi="Times New Roman" w:eastAsia="宋体" w:cs="Times New Roman"/>
                <w:szCs w:val="21"/>
              </w:rPr>
              <w:t>学期</w:t>
            </w:r>
          </w:p>
        </w:tc>
      </w:tr>
      <w:tr w14:paraId="10D0FC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90" w:type="pct"/>
            <w:vAlign w:val="center"/>
          </w:tcPr>
          <w:p w14:paraId="111F7723">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14:paraId="128CC19A">
            <w:pPr>
              <w:adjustRightInd w:val="0"/>
              <w:snapToGrid w:val="0"/>
              <w:spacing w:line="400" w:lineRule="exact"/>
              <w:jc w:val="center"/>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lang w:val="en-US" w:eastAsia="zh-CN"/>
              </w:rPr>
              <w:t>傅平凡</w:t>
            </w:r>
          </w:p>
        </w:tc>
        <w:tc>
          <w:tcPr>
            <w:tcW w:w="840" w:type="pct"/>
            <w:gridSpan w:val="3"/>
            <w:vAlign w:val="center"/>
          </w:tcPr>
          <w:p w14:paraId="50C607EB">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审核人</w:t>
            </w:r>
          </w:p>
        </w:tc>
        <w:tc>
          <w:tcPr>
            <w:tcW w:w="1684" w:type="pct"/>
            <w:gridSpan w:val="4"/>
            <w:vAlign w:val="center"/>
          </w:tcPr>
          <w:p w14:paraId="7C1F07A1">
            <w:pPr>
              <w:adjustRightInd w:val="0"/>
              <w:snapToGrid w:val="0"/>
              <w:spacing w:line="40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潘登福</w:t>
            </w:r>
          </w:p>
        </w:tc>
      </w:tr>
      <w:tr w14:paraId="5DBCAA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90" w:type="pct"/>
            <w:vAlign w:val="center"/>
          </w:tcPr>
          <w:p w14:paraId="4221B382">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9" w:type="pct"/>
            <w:gridSpan w:val="9"/>
            <w:vAlign w:val="center"/>
          </w:tcPr>
          <w:p w14:paraId="3640356A">
            <w:pPr>
              <w:rPr>
                <w:rFonts w:ascii="Times New Roman" w:hAnsi="Times New Roman" w:eastAsia="宋体" w:cs="Times New Roman"/>
                <w:color w:val="auto"/>
                <w:szCs w:val="21"/>
              </w:rPr>
            </w:pPr>
            <w:r>
              <w:rPr>
                <w:rFonts w:hint="eastAsia" w:ascii="Times New Roman" w:hAnsi="Times New Roman" w:eastAsia="宋体" w:cs="Times New Roman"/>
                <w:szCs w:val="21"/>
                <w:lang w:val="en-US" w:eastAsia="zh-CN"/>
              </w:rPr>
              <w:t>版画基础、版画（黑白画）、版画（黑白木刻创作研究）、版画（套色木刻临摹）</w:t>
            </w:r>
          </w:p>
        </w:tc>
      </w:tr>
      <w:tr w14:paraId="4A6FDD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90" w:type="pct"/>
            <w:vAlign w:val="center"/>
          </w:tcPr>
          <w:p w14:paraId="7F03A91E">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9" w:type="pct"/>
            <w:gridSpan w:val="9"/>
            <w:vAlign w:val="center"/>
          </w:tcPr>
          <w:p w14:paraId="608FFE90">
            <w:pP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szCs w:val="21"/>
                <w:lang w:val="en-US" w:eastAsia="zh-CN"/>
              </w:rPr>
              <w:t xml:space="preserve">铜版画、毕业创作 </w:t>
            </w:r>
          </w:p>
        </w:tc>
      </w:tr>
      <w:tr w14:paraId="0FF14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pct"/>
            <w:vAlign w:val="center"/>
          </w:tcPr>
          <w:p w14:paraId="366F7869">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9" w:type="pct"/>
            <w:gridSpan w:val="9"/>
            <w:vAlign w:val="center"/>
          </w:tcPr>
          <w:p w14:paraId="4CA431C2">
            <w:pPr>
              <w:rPr>
                <w:rFonts w:hint="eastAsia" w:ascii="Times New Roman" w:hAnsi="Times New Roman" w:cs="Times New Roman"/>
                <w:szCs w:val="21"/>
              </w:rPr>
            </w:pPr>
            <w:r>
              <w:rPr>
                <w:rFonts w:hint="eastAsia" w:ascii="Times New Roman" w:hAnsi="Times New Roman" w:eastAsia="宋体" w:cs="Times New Roman"/>
                <w:szCs w:val="21"/>
                <w:lang w:val="en-US" w:eastAsia="zh-CN"/>
              </w:rPr>
              <w:t>《版画》.李仲.西南师范大学出版社，2006 21世纪全国普通高校美术艺术设计专业“十三五”国家规划教材</w:t>
            </w:r>
          </w:p>
        </w:tc>
      </w:tr>
      <w:tr w14:paraId="08D44B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14:paraId="317671F3">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9" w:type="pct"/>
            <w:gridSpan w:val="9"/>
            <w:vAlign w:val="center"/>
          </w:tcPr>
          <w:p w14:paraId="29DB7648">
            <w:pPr>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[1]《版画》.孙犁.中国纺织出版社，2013 年  </w:t>
            </w:r>
          </w:p>
          <w:p w14:paraId="2DBEF0FB">
            <w:pPr>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[2]《纯化的木刻艺术》.闫翀 刘媛.重庆大学出版社，2015 年  </w:t>
            </w:r>
          </w:p>
          <w:p w14:paraId="23824B15">
            <w:pPr>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[3]《木版画》.李仲.西南师范大学出版社，2007 年 </w:t>
            </w:r>
          </w:p>
          <w:p w14:paraId="0DA70E24">
            <w:pPr>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[4]《木版家族》.王华祥. 河北美术出版社，2001 年 </w:t>
            </w:r>
          </w:p>
          <w:p w14:paraId="05CB4BB3">
            <w:pPr>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[5]《中国版画百图》.周芜.人民美术出版社，1984 年 </w:t>
            </w:r>
          </w:p>
          <w:p w14:paraId="009C7639">
            <w:pPr>
              <w:adjustRightInd w:val="0"/>
              <w:snapToGrid w:val="0"/>
              <w:spacing w:line="300" w:lineRule="exact"/>
              <w:rPr>
                <w:rFonts w:hint="eastAsia" w:ascii="Times" w:hAnsi="Times" w:cs="Times"/>
                <w:szCs w:val="21"/>
              </w:rPr>
            </w:pPr>
          </w:p>
        </w:tc>
      </w:tr>
      <w:tr w14:paraId="2A0DE1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0" w:type="pct"/>
            <w:vAlign w:val="center"/>
          </w:tcPr>
          <w:p w14:paraId="29D8583C">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9" w:type="pct"/>
            <w:gridSpan w:val="9"/>
            <w:vAlign w:val="center"/>
          </w:tcPr>
          <w:p w14:paraId="0E856073">
            <w:pPr>
              <w:adjustRightInd w:val="0"/>
              <w:snapToGrid w:val="0"/>
              <w:spacing w:line="300" w:lineRule="exact"/>
              <w:jc w:val="left"/>
              <w:rPr>
                <w:rFonts w:ascii="Times New Roman" w:hAnsi="Times New Roman" w:eastAsia="宋体" w:cs="Times New Roman"/>
                <w:szCs w:val="21"/>
              </w:rPr>
            </w:pPr>
            <w:r>
              <w:fldChar w:fldCharType="begin"/>
            </w:r>
            <w:r>
              <w:instrText xml:space="preserve"> HYPERLINK "http://www.namoc.org/" </w:instrText>
            </w:r>
            <w:r>
              <w:fldChar w:fldCharType="separate"/>
            </w:r>
            <w:r>
              <w:rPr>
                <w:rFonts w:hint="eastAsia" w:ascii="Times New Roman" w:hAnsi="Times New Roman" w:eastAsia="宋体" w:cs="Times New Roman"/>
                <w:szCs w:val="21"/>
              </w:rPr>
              <w:t>中国美术馆</w:t>
            </w:r>
            <w:r>
              <w:rPr>
                <w:rFonts w:ascii="Times New Roman" w:hAnsi="Times New Roman" w:eastAsia="宋体" w:cs="Times New Roman"/>
                <w:szCs w:val="21"/>
              </w:rPr>
              <w:t xml:space="preserve"> (namoc.org)</w:t>
            </w:r>
            <w:r>
              <w:rPr>
                <w:rFonts w:ascii="Times New Roman" w:hAnsi="Times New Roman" w:eastAsia="宋体" w:cs="Times New Roman"/>
                <w:szCs w:val="21"/>
              </w:rPr>
              <w:fldChar w:fldCharType="end"/>
            </w:r>
          </w:p>
          <w:p w14:paraId="61F4B403">
            <w:pPr>
              <w:adjustRightInd w:val="0"/>
              <w:snapToGrid w:val="0"/>
              <w:spacing w:line="300" w:lineRule="exact"/>
              <w:jc w:val="left"/>
              <w:rPr>
                <w:rFonts w:ascii="Times New Roman" w:hAnsi="Times New Roman" w:eastAsia="宋体" w:cs="Times New Roman"/>
                <w:szCs w:val="21"/>
              </w:rPr>
            </w:pPr>
            <w:r>
              <w:rPr>
                <w:rFonts w:hint="eastAsia" w:ascii="Times New Roman" w:hAnsi="Times New Roman" w:eastAsia="宋体" w:cs="Times New Roman"/>
                <w:szCs w:val="21"/>
              </w:rPr>
              <w:t>中国现代艺术网上虚拟展览馆</w:t>
            </w:r>
            <w:r>
              <w:rPr>
                <w:rFonts w:ascii="Times New Roman" w:hAnsi="Times New Roman" w:eastAsia="宋体" w:cs="Times New Roman"/>
                <w:szCs w:val="21"/>
              </w:rPr>
              <w:t>http://www.dslcollection.org/</w:t>
            </w:r>
          </w:p>
          <w:p w14:paraId="5DAEAD8C">
            <w:pPr>
              <w:adjustRightInd w:val="0"/>
              <w:snapToGrid w:val="0"/>
              <w:spacing w:line="300" w:lineRule="exact"/>
              <w:jc w:val="left"/>
              <w:rPr>
                <w:rFonts w:ascii="Times New Roman" w:hAnsi="Times New Roman" w:eastAsia="宋体" w:cs="Times New Roman"/>
                <w:szCs w:val="21"/>
              </w:rPr>
            </w:pPr>
            <w:r>
              <w:rPr>
                <w:rFonts w:hint="eastAsia" w:ascii="Times New Roman" w:hAnsi="Times New Roman" w:eastAsia="宋体" w:cs="Times New Roman"/>
                <w:szCs w:val="21"/>
              </w:rPr>
              <w:t>中国艺志</w:t>
            </w:r>
            <w:r>
              <w:fldChar w:fldCharType="begin"/>
            </w:r>
            <w:r>
              <w:instrText xml:space="preserve"> HYPERLINK "http://nisuwang.net/qqa/qqa_artzinechina_en.htm" </w:instrText>
            </w:r>
            <w:r>
              <w:fldChar w:fldCharType="separate"/>
            </w:r>
            <w:r>
              <w:rPr>
                <w:rFonts w:ascii="Times New Roman" w:hAnsi="Times New Roman" w:eastAsia="宋体" w:cs="Times New Roman"/>
                <w:szCs w:val="21"/>
              </w:rPr>
              <w:t xml:space="preserve">| ArtZineChina.com | </w:t>
            </w:r>
            <w:r>
              <w:rPr>
                <w:rFonts w:hint="eastAsia" w:ascii="Times New Roman" w:hAnsi="Times New Roman" w:eastAsia="宋体" w:cs="Times New Roman"/>
                <w:szCs w:val="21"/>
              </w:rPr>
              <w:t>中国艺志</w:t>
            </w:r>
            <w:r>
              <w:rPr>
                <w:rFonts w:ascii="Times New Roman" w:hAnsi="Times New Roman" w:eastAsia="宋体" w:cs="Times New Roman"/>
                <w:szCs w:val="21"/>
              </w:rPr>
              <w:t xml:space="preserve"> (nisuwang.net)</w:t>
            </w:r>
            <w:r>
              <w:rPr>
                <w:rFonts w:ascii="Times New Roman" w:hAnsi="Times New Roman" w:eastAsia="宋体" w:cs="Times New Roman"/>
                <w:szCs w:val="21"/>
              </w:rPr>
              <w:fldChar w:fldCharType="end"/>
            </w:r>
          </w:p>
          <w:p w14:paraId="05EACEE6">
            <w:pPr>
              <w:adjustRightInd w:val="0"/>
              <w:snapToGrid w:val="0"/>
              <w:spacing w:line="300" w:lineRule="exact"/>
              <w:jc w:val="left"/>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康宁、钟长清、李仲、吴长江</w:t>
            </w:r>
            <w:r>
              <w:rPr>
                <w:rFonts w:hint="eastAsia" w:ascii="Times New Roman" w:hAnsi="Times New Roman" w:eastAsia="宋体" w:cs="Times New Roman"/>
                <w:szCs w:val="21"/>
              </w:rPr>
              <w:t>等国内外作者作品。</w:t>
            </w:r>
          </w:p>
        </w:tc>
      </w:tr>
      <w:tr w14:paraId="0F7857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90" w:type="pct"/>
            <w:vAlign w:val="center"/>
          </w:tcPr>
          <w:p w14:paraId="646AD01F">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9" w:type="pct"/>
            <w:gridSpan w:val="9"/>
            <w:vAlign w:val="center"/>
          </w:tcPr>
          <w:p w14:paraId="58EAAEB0">
            <w:pPr>
              <w:snapToGrid w:val="0"/>
              <w:spacing w:line="400" w:lineRule="exact"/>
              <w:ind w:firstLine="420" w:firstLineChars="200"/>
              <w:rPr>
                <w:rFonts w:hint="default" w:ascii="Times New Roman" w:hAnsi="Times New Roman" w:eastAsia="宋体" w:cs="Times New Roman"/>
                <w:szCs w:val="21"/>
                <w:lang w:val="en-US" w:eastAsia="zh-CN"/>
              </w:rPr>
            </w:pPr>
            <w:r>
              <w:rPr>
                <w:rFonts w:hint="eastAsia" w:hAnsi="宋体" w:cs="宋体"/>
                <w:color w:val="auto"/>
                <w:szCs w:val="24"/>
                <w:highlight w:val="none"/>
              </w:rPr>
              <w:t>本课程是美术学专业分方向之</w:t>
            </w:r>
            <w:r>
              <w:rPr>
                <w:rFonts w:hint="eastAsia" w:hAnsi="宋体" w:cs="宋体"/>
                <w:color w:val="auto"/>
                <w:szCs w:val="24"/>
                <w:highlight w:val="none"/>
                <w:lang w:val="en-US" w:eastAsia="zh-CN"/>
              </w:rPr>
              <w:t>后</w:t>
            </w:r>
            <w:r>
              <w:rPr>
                <w:rFonts w:hint="eastAsia" w:hAnsi="宋体" w:cs="宋体"/>
                <w:color w:val="auto"/>
                <w:szCs w:val="24"/>
                <w:highlight w:val="none"/>
              </w:rPr>
              <w:t>的主要课程之一，也是美术学专业核心课。</w:t>
            </w:r>
            <w:r>
              <w:rPr>
                <w:rFonts w:hint="eastAsia" w:hAnsi="宋体" w:cs="宋体"/>
                <w:color w:val="auto"/>
                <w:szCs w:val="24"/>
                <w:highlight w:val="none"/>
                <w:lang w:val="en-US" w:eastAsia="zh-CN"/>
              </w:rPr>
              <w:t>教学内容</w:t>
            </w:r>
            <w:r>
              <w:rPr>
                <w:rFonts w:hint="eastAsia" w:hAnsi="宋体" w:cs="宋体"/>
                <w:color w:val="auto"/>
                <w:szCs w:val="24"/>
                <w:highlight w:val="none"/>
              </w:rPr>
              <w:t>主要包括</w:t>
            </w:r>
            <w:r>
              <w:rPr>
                <w:rFonts w:hint="eastAsia" w:hAnsi="宋体" w:cs="宋体"/>
                <w:color w:val="auto"/>
                <w:szCs w:val="24"/>
                <w:highlight w:val="none"/>
                <w:lang w:val="en-US" w:eastAsia="zh-CN"/>
              </w:rPr>
              <w:t>套色木刻基本概念、发展历史、主要分类及审美特点等基础知识，绝版套色木刻创作的基本程序等。</w:t>
            </w:r>
            <w:r>
              <w:rPr>
                <w:rFonts w:hAnsi="宋体" w:cs="宋体"/>
                <w:color w:val="auto"/>
                <w:szCs w:val="24"/>
                <w:highlight w:val="none"/>
              </w:rPr>
              <w:t>通过这门课程的学习，使学生系统地掌握套色木刻创作的基本步骤与方法，并能熟练地运用所学专业理论知识及表现技能进行套色木刻的创作制作及美术教学活动。</w:t>
            </w:r>
          </w:p>
        </w:tc>
      </w:tr>
    </w:tbl>
    <w:p w14:paraId="6DE88DC4">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14:paraId="01E3C008">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14:paraId="68284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047DCC28">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14:paraId="3AFB9A8D">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14:paraId="3A20A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810" w:type="pct"/>
            <w:vAlign w:val="center"/>
          </w:tcPr>
          <w:p w14:paraId="62F61348">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14:paraId="1E526887">
            <w:pPr>
              <w:adjustRightInd w:val="0"/>
              <w:snapToGrid w:val="0"/>
              <w:spacing w:line="300" w:lineRule="exact"/>
              <w:ind w:firstLine="420" w:firstLineChars="200"/>
              <w:rPr>
                <w:rFonts w:ascii="Times New Roman" w:hAnsi="Times New Roman" w:eastAsia="宋体" w:cs="Times New Roman"/>
                <w:szCs w:val="21"/>
              </w:rPr>
            </w:pPr>
            <w:r>
              <w:rPr>
                <w:rFonts w:hint="eastAsia" w:ascii="宋体" w:hAnsi="宋体" w:eastAsia="宋体" w:cs="宋体"/>
                <w:lang w:val="en-US" w:eastAsia="zh-CN"/>
              </w:rPr>
              <w:t>掌握套色木刻创作</w:t>
            </w:r>
            <w:r>
              <w:rPr>
                <w:rFonts w:hint="eastAsia" w:ascii="宋体" w:hAnsi="宋体" w:eastAsia="宋体" w:cs="宋体"/>
              </w:rPr>
              <w:t>的基本概念、基本理论、</w:t>
            </w:r>
            <w:r>
              <w:rPr>
                <w:rFonts w:hint="eastAsia" w:ascii="宋体" w:hAnsi="宋体" w:eastAsia="宋体" w:cs="宋体"/>
                <w:lang w:val="en-US" w:eastAsia="zh-CN"/>
              </w:rPr>
              <w:t>发展历史等基础知识</w:t>
            </w:r>
            <w:r>
              <w:rPr>
                <w:rFonts w:hint="eastAsia" w:ascii="宋体" w:hAnsi="宋体" w:eastAsia="宋体" w:cs="宋体"/>
              </w:rPr>
              <w:t>，认识</w:t>
            </w:r>
            <w:r>
              <w:rPr>
                <w:rFonts w:hint="eastAsia" w:ascii="宋体" w:hAnsi="宋体" w:eastAsia="宋体" w:cs="宋体"/>
                <w:lang w:val="en-US" w:eastAsia="zh-CN"/>
              </w:rPr>
              <w:t>套色木刻创作的风格及审美特点</w:t>
            </w:r>
            <w:r>
              <w:rPr>
                <w:rFonts w:hint="eastAsia" w:ascii="宋体" w:hAnsi="宋体" w:eastAsia="宋体" w:cs="宋体"/>
                <w:lang w:eastAsia="zh-CN"/>
              </w:rPr>
              <w:t>，</w:t>
            </w:r>
            <w:r>
              <w:rPr>
                <w:rFonts w:hint="eastAsia" w:ascii="Times New Roman" w:hAnsi="Times New Roman" w:eastAsia="宋体" w:cs="Times New Roman"/>
                <w:szCs w:val="21"/>
              </w:rPr>
              <w:t>了解</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基本发展历史和当下</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发展现状</w:t>
            </w:r>
            <w:r>
              <w:rPr>
                <w:rFonts w:hint="eastAsia" w:ascii="Times New Roman" w:hAnsi="Times New Roman" w:eastAsia="宋体" w:cs="Times New Roman"/>
                <w:szCs w:val="21"/>
                <w:lang w:eastAsia="zh-CN"/>
              </w:rPr>
              <w:t>。</w:t>
            </w:r>
            <w:r>
              <w:rPr>
                <w:rFonts w:hint="eastAsia" w:ascii="Times New Roman" w:hAnsi="Times New Roman" w:eastAsia="宋体" w:cs="Times New Roman"/>
                <w:color w:val="auto"/>
                <w:szCs w:val="21"/>
              </w:rPr>
              <w:t>能运用</w:t>
            </w:r>
            <w:r>
              <w:rPr>
                <w:rFonts w:hint="eastAsia" w:ascii="Times New Roman" w:hAnsi="Times New Roman" w:eastAsia="宋体" w:cs="Times New Roman"/>
                <w:color w:val="auto"/>
                <w:szCs w:val="21"/>
                <w:lang w:val="en-US" w:eastAsia="zh-CN"/>
              </w:rPr>
              <w:t>套色木刻</w:t>
            </w:r>
            <w:r>
              <w:rPr>
                <w:rFonts w:hint="eastAsia" w:ascii="Times New Roman" w:hAnsi="Times New Roman" w:eastAsia="宋体" w:cs="Times New Roman"/>
                <w:color w:val="auto"/>
                <w:szCs w:val="21"/>
              </w:rPr>
              <w:t>的基本理论，开展</w:t>
            </w:r>
            <w:r>
              <w:rPr>
                <w:rFonts w:hint="eastAsia" w:ascii="Times New Roman" w:hAnsi="Times New Roman" w:eastAsia="宋体" w:cs="Times New Roman"/>
                <w:color w:val="auto"/>
                <w:szCs w:val="21"/>
                <w:lang w:val="en-US" w:eastAsia="zh-CN"/>
              </w:rPr>
              <w:t>套色木刻的创作程序</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选取优秀套色木刻作品作为范本进行分析借鉴,掌握套色木刻创作的基本制作方法</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14:paraId="5BC4D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atLeast"/>
        </w:trPr>
        <w:tc>
          <w:tcPr>
            <w:tcW w:w="810" w:type="pct"/>
            <w:vAlign w:val="center"/>
          </w:tcPr>
          <w:p w14:paraId="395CCE03">
            <w:pPr>
              <w:spacing w:line="360" w:lineRule="auto"/>
              <w:jc w:val="center"/>
              <w:rPr>
                <w:rFonts w:hint="eastAsia" w:ascii="Times New Roman" w:hAnsi="Times New Roman" w:eastAsia="宋体" w:cs="Times New Roman"/>
                <w:b/>
                <w:color w:val="000000" w:themeColor="text1"/>
                <w:kern w:val="0"/>
                <w:szCs w:val="21"/>
                <w:lang w:eastAsia="zh-CN"/>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w:t>
            </w:r>
            <w:r>
              <w:rPr>
                <w:rFonts w:hint="eastAsia" w:ascii="Times New Roman" w:hAnsi="Times New Roman" w:eastAsia="宋体" w:cs="Times New Roman"/>
                <w:b/>
                <w:color w:val="000000" w:themeColor="text1"/>
                <w:kern w:val="0"/>
                <w:szCs w:val="21"/>
                <w:lang w:val="en-US" w:eastAsia="zh-CN"/>
                <w14:textFill>
                  <w14:solidFill>
                    <w14:schemeClr w14:val="tx1"/>
                  </w14:solidFill>
                </w14:textFill>
              </w:rPr>
              <w:t>2</w:t>
            </w:r>
          </w:p>
        </w:tc>
        <w:tc>
          <w:tcPr>
            <w:tcW w:w="4189" w:type="pct"/>
            <w:vAlign w:val="center"/>
          </w:tcPr>
          <w:p w14:paraId="500E1BF6">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w:t>
            </w:r>
            <w:r>
              <w:rPr>
                <w:rFonts w:hint="eastAsia" w:ascii="Times New Roman" w:hAnsi="Times New Roman" w:eastAsia="宋体" w:cs="Times New Roman"/>
                <w:szCs w:val="21"/>
                <w:lang w:val="en-US" w:eastAsia="zh-CN"/>
              </w:rPr>
              <w:t>临摹</w:t>
            </w:r>
            <w:r>
              <w:rPr>
                <w:rFonts w:hint="eastAsia" w:ascii="Times New Roman" w:hAnsi="Times New Roman" w:eastAsia="宋体" w:cs="Times New Roman"/>
                <w:szCs w:val="21"/>
              </w:rPr>
              <w:t>实践、理论认知过程中，开展教师素养和能力训练，运用掌握的</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基础知识和实践方法，进行作品赏析。同时，对中国近现代代表性</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作品进行赏析，</w:t>
            </w:r>
            <w:r>
              <w:rPr>
                <w:rFonts w:hint="eastAsia" w:ascii="Times New Roman" w:hAnsi="Times New Roman" w:eastAsia="宋体" w:cs="Times New Roman"/>
                <w:szCs w:val="21"/>
                <w:lang w:val="en-US" w:eastAsia="zh-CN"/>
              </w:rPr>
              <w:t>掌握赏析基本方法，</w:t>
            </w:r>
            <w:r>
              <w:rPr>
                <w:rFonts w:hint="eastAsia" w:ascii="Times New Roman" w:hAnsi="Times New Roman" w:eastAsia="宋体" w:cs="Times New Roman"/>
                <w:szCs w:val="21"/>
              </w:rPr>
              <w:t>开展课程思政。【毕业要求 4 教学能力】</w:t>
            </w:r>
          </w:p>
        </w:tc>
      </w:tr>
      <w:tr w14:paraId="792B0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10" w:type="pct"/>
            <w:vAlign w:val="center"/>
          </w:tcPr>
          <w:p w14:paraId="6556260A">
            <w:pPr>
              <w:spacing w:line="360" w:lineRule="auto"/>
              <w:jc w:val="center"/>
              <w:rPr>
                <w:rFonts w:hint="eastAsia" w:ascii="Times New Roman" w:hAnsi="Times New Roman" w:eastAsia="宋体" w:cs="Times New Roman"/>
                <w:b/>
                <w:color w:val="000000" w:themeColor="text1"/>
                <w:kern w:val="0"/>
                <w:szCs w:val="21"/>
                <w:lang w:eastAsia="zh-CN"/>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w:t>
            </w:r>
            <w:r>
              <w:rPr>
                <w:rFonts w:hint="eastAsia" w:ascii="Times New Roman" w:hAnsi="Times New Roman" w:eastAsia="宋体" w:cs="Times New Roman"/>
                <w:b/>
                <w:color w:val="000000" w:themeColor="text1"/>
                <w:kern w:val="0"/>
                <w:szCs w:val="21"/>
                <w:lang w:val="en-US" w:eastAsia="zh-CN"/>
                <w14:textFill>
                  <w14:solidFill>
                    <w14:schemeClr w14:val="tx1"/>
                  </w14:solidFill>
                </w14:textFill>
              </w:rPr>
              <w:t>3</w:t>
            </w:r>
          </w:p>
        </w:tc>
        <w:tc>
          <w:tcPr>
            <w:tcW w:w="4189" w:type="pct"/>
            <w:vAlign w:val="center"/>
          </w:tcPr>
          <w:p w14:paraId="0858CA01">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在分组</w:t>
            </w:r>
            <w:r>
              <w:rPr>
                <w:rFonts w:hint="eastAsia" w:ascii="Times New Roman" w:hAnsi="Times New Roman" w:eastAsia="宋体" w:cs="Times New Roman"/>
                <w:szCs w:val="21"/>
                <w:lang w:val="en-US" w:eastAsia="zh-CN"/>
              </w:rPr>
              <w:t>临摹</w:t>
            </w:r>
            <w:r>
              <w:rPr>
                <w:rFonts w:hint="eastAsia" w:ascii="Times New Roman" w:hAnsi="Times New Roman" w:eastAsia="宋体" w:cs="Times New Roman"/>
                <w:szCs w:val="21"/>
              </w:rPr>
              <w:t>实践和</w:t>
            </w:r>
            <w:r>
              <w:rPr>
                <w:rFonts w:hint="eastAsia" w:ascii="Times New Roman" w:hAnsi="Times New Roman" w:eastAsia="宋体" w:cs="Times New Roman"/>
                <w:szCs w:val="21"/>
                <w:lang w:val="en-US" w:eastAsia="zh-CN"/>
              </w:rPr>
              <w:t>创作</w:t>
            </w:r>
            <w:r>
              <w:rPr>
                <w:rFonts w:hint="eastAsia" w:ascii="Times New Roman" w:hAnsi="Times New Roman" w:eastAsia="宋体" w:cs="Times New Roman"/>
                <w:szCs w:val="21"/>
              </w:rPr>
              <w:t>劳动实践中体现出团队合作的精神。能够建立良好的沟通、表达能力。【毕业要求</w:t>
            </w:r>
            <w:r>
              <w:rPr>
                <w:rFonts w:ascii="Times New Roman" w:hAnsi="Times New Roman" w:eastAsia="宋体" w:cs="Times New Roman"/>
                <w:szCs w:val="21"/>
              </w:rPr>
              <w:t xml:space="preserve"> 8 </w:t>
            </w:r>
            <w:r>
              <w:rPr>
                <w:rFonts w:hint="eastAsia" w:ascii="Times New Roman" w:hAnsi="Times New Roman" w:eastAsia="宋体" w:cs="Times New Roman"/>
                <w:szCs w:val="21"/>
              </w:rPr>
              <w:t>沟通合作】</w:t>
            </w:r>
          </w:p>
        </w:tc>
      </w:tr>
    </w:tbl>
    <w:p w14:paraId="4182C051">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lang w:val="en-US" w:eastAsia="zh-CN"/>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8"/>
        <w:gridCol w:w="3971"/>
        <w:gridCol w:w="2515"/>
      </w:tblGrid>
      <w:tr w14:paraId="2BDD1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07" w:type="pct"/>
            <w:tcBorders>
              <w:top w:val="single" w:color="auto" w:sz="4" w:space="0"/>
              <w:left w:val="single" w:color="auto" w:sz="4" w:space="0"/>
              <w:bottom w:val="single" w:color="auto" w:sz="4" w:space="0"/>
              <w:right w:val="single" w:color="auto" w:sz="4" w:space="0"/>
              <w:tl2br w:val="nil"/>
              <w:tr2bl w:val="nil"/>
            </w:tcBorders>
            <w:vAlign w:val="center"/>
          </w:tcPr>
          <w:p w14:paraId="369DB8F1">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14:paraId="2893B778">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14:paraId="7E84D885">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14:paraId="71DE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07"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108160E">
            <w:pPr>
              <w:rPr>
                <w:rFonts w:ascii="宋体" w:hAnsi="宋体" w:cs="宋体"/>
              </w:rPr>
            </w:pPr>
            <w:r>
              <w:rPr>
                <w:rFonts w:ascii="宋体" w:hAnsi="宋体" w:cs="宋体"/>
              </w:rPr>
              <w:t>毕业要求</w:t>
            </w:r>
            <w:r>
              <w:rPr>
                <w:rFonts w:hint="eastAsia" w:ascii="宋体" w:hAnsi="宋体" w:cs="宋体"/>
                <w:lang w:val="en-US" w:eastAsia="zh-CN"/>
              </w:rPr>
              <w:t>3</w:t>
            </w:r>
            <w:r>
              <w:rPr>
                <w:rFonts w:ascii="宋体" w:hAnsi="宋体" w:cs="宋体"/>
              </w:rPr>
              <w:t>：</w:t>
            </w:r>
            <w:r>
              <w:rPr>
                <w:rFonts w:hint="eastAsia" w:ascii="宋体" w:hAnsi="宋体" w:cs="宋体"/>
              </w:rPr>
              <w:t>[学科素养]掌握美术学学科的基础知识、基本原理和基本技能，理解美术学学科知识体系、基本思想和方法；了解美术学与其他学科的关系与联系，了解美术学学科与社会、生活实践的联系，具备一定的跨学科知识、能力和人文素养。</w:t>
            </w:r>
            <w:r>
              <w:rPr>
                <w:rFonts w:ascii="宋体" w:hAnsi="宋体" w:cs="宋体"/>
              </w:rPr>
              <w:t>【H】</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14:paraId="1B999DE0">
            <w:pPr>
              <w:rPr>
                <w:rFonts w:ascii="宋体" w:hAnsi="宋体" w:cs="宋体"/>
                <w:lang w:bidi="ar"/>
              </w:rPr>
            </w:pPr>
            <w:r>
              <w:rPr>
                <w:rFonts w:hint="eastAsia" w:ascii="宋体" w:hAnsi="宋体" w:cs="宋体"/>
                <w:lang w:val="en-US" w:eastAsia="zh-CN" w:bidi="ar"/>
              </w:rPr>
              <w:t>3</w:t>
            </w:r>
            <w:r>
              <w:rPr>
                <w:rFonts w:ascii="宋体" w:hAnsi="宋体" w:cs="宋体"/>
                <w:lang w:bidi="ar"/>
              </w:rPr>
              <w:t xml:space="preserve">.1 </w:t>
            </w:r>
            <w:r>
              <w:rPr>
                <w:rFonts w:hint="eastAsia" w:ascii="宋体" w:hAnsi="宋体" w:cs="宋体"/>
                <w:lang w:bidi="ar"/>
              </w:rPr>
              <w:t>[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14:paraId="1546530D">
            <w:pPr>
              <w:jc w:val="left"/>
              <w:rPr>
                <w:rFonts w:ascii="宋体" w:hAnsi="宋体" w:cs="宋体"/>
              </w:rPr>
            </w:pPr>
            <w:r>
              <w:rPr>
                <w:rFonts w:hint="eastAsia" w:ascii="宋体" w:hAnsi="宋体" w:eastAsia="宋体" w:cs="宋体"/>
                <w:lang w:val="en-US" w:eastAsia="zh-CN"/>
              </w:rPr>
              <w:t>掌握套色木刻创作</w:t>
            </w:r>
            <w:r>
              <w:rPr>
                <w:rFonts w:hint="eastAsia" w:ascii="宋体" w:hAnsi="宋体" w:eastAsia="宋体" w:cs="宋体"/>
              </w:rPr>
              <w:t>的基本概念、基本理论、</w:t>
            </w:r>
            <w:r>
              <w:rPr>
                <w:rFonts w:hint="eastAsia" w:ascii="宋体" w:hAnsi="宋体" w:eastAsia="宋体" w:cs="宋体"/>
                <w:lang w:val="en-US" w:eastAsia="zh-CN"/>
              </w:rPr>
              <w:t>发展历史等基础知识</w:t>
            </w:r>
            <w:r>
              <w:rPr>
                <w:rFonts w:hint="eastAsia" w:ascii="宋体" w:hAnsi="宋体" w:eastAsia="宋体" w:cs="宋体"/>
              </w:rPr>
              <w:t>，认识</w:t>
            </w:r>
            <w:r>
              <w:rPr>
                <w:rFonts w:hint="eastAsia" w:ascii="宋体" w:hAnsi="宋体" w:eastAsia="宋体" w:cs="宋体"/>
                <w:lang w:val="en-US" w:eastAsia="zh-CN"/>
              </w:rPr>
              <w:t>套色木刻创作的风格及审美特点</w:t>
            </w:r>
            <w:r>
              <w:rPr>
                <w:rFonts w:hint="eastAsia" w:ascii="宋体" w:hAnsi="宋体" w:eastAsia="宋体" w:cs="宋体"/>
                <w:lang w:eastAsia="zh-CN"/>
              </w:rPr>
              <w:t>，</w:t>
            </w:r>
            <w:r>
              <w:rPr>
                <w:rFonts w:hint="eastAsia" w:ascii="Times New Roman" w:hAnsi="Times New Roman" w:eastAsia="宋体" w:cs="Times New Roman"/>
                <w:szCs w:val="21"/>
              </w:rPr>
              <w:t>了解</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基本发展历史和当下</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发展现状</w:t>
            </w:r>
            <w:r>
              <w:rPr>
                <w:rFonts w:hint="eastAsia" w:ascii="Times New Roman" w:hAnsi="Times New Roman" w:eastAsia="宋体" w:cs="Times New Roman"/>
                <w:szCs w:val="21"/>
                <w:lang w:eastAsia="zh-CN"/>
              </w:rPr>
              <w:t>。</w:t>
            </w:r>
          </w:p>
        </w:tc>
      </w:tr>
      <w:tr w14:paraId="357D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7"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6B0FCB4">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14:paraId="1A0F9128">
            <w:pPr>
              <w:rPr>
                <w:rFonts w:ascii="宋体" w:hAnsi="宋体" w:cs="宋体"/>
                <w:lang w:bidi="ar"/>
              </w:rPr>
            </w:pPr>
            <w:r>
              <w:rPr>
                <w:rFonts w:hint="eastAsia" w:ascii="宋体" w:hAnsi="宋体" w:cs="宋体"/>
                <w:lang w:val="en-US" w:eastAsia="zh-CN" w:bidi="ar"/>
              </w:rPr>
              <w:t>3</w:t>
            </w:r>
            <w:r>
              <w:rPr>
                <w:rFonts w:ascii="宋体" w:hAnsi="宋体" w:cs="宋体"/>
                <w:lang w:bidi="ar"/>
              </w:rPr>
              <w:t>.2</w:t>
            </w:r>
            <w:r>
              <w:rPr>
                <w:rFonts w:hint="eastAsia" w:ascii="宋体" w:hAnsi="宋体" w:cs="宋体"/>
                <w:lang w:bidi="ar"/>
              </w:rPr>
              <w:t>熟悉并运用中国画、</w:t>
            </w:r>
            <w:r>
              <w:rPr>
                <w:rFonts w:hint="eastAsia" w:ascii="宋体" w:hAnsi="宋体" w:cs="宋体"/>
                <w:lang w:val="en-US" w:eastAsia="zh-CN" w:bidi="ar"/>
              </w:rPr>
              <w:t>版画</w:t>
            </w:r>
            <w:r>
              <w:rPr>
                <w:rFonts w:hint="eastAsia" w:ascii="宋体" w:hAnsi="宋体" w:cs="宋体"/>
                <w:lang w:bidi="ar"/>
              </w:rPr>
              <w:t>、水粉画、综合绘画、书法等基本技法进行艺术实践，分析艺术语言、解读艺术作品，形成独立的审美判断能力、鉴赏能力。</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14:paraId="008FD776">
            <w:pPr>
              <w:rPr>
                <w:rFonts w:ascii="Times New Roman" w:hAnsi="Times New Roman" w:cs="Times New Roman"/>
                <w:color w:val="000000"/>
                <w:szCs w:val="21"/>
              </w:rPr>
            </w:pPr>
            <w:r>
              <w:rPr>
                <w:rFonts w:hint="eastAsia" w:ascii="Times New Roman" w:hAnsi="Times New Roman" w:eastAsia="宋体" w:cs="Times New Roman"/>
                <w:color w:val="auto"/>
                <w:szCs w:val="21"/>
              </w:rPr>
              <w:t>能运用</w:t>
            </w:r>
            <w:r>
              <w:rPr>
                <w:rFonts w:hint="eastAsia" w:ascii="Times New Roman" w:hAnsi="Times New Roman" w:eastAsia="宋体" w:cs="Times New Roman"/>
                <w:color w:val="auto"/>
                <w:szCs w:val="21"/>
                <w:lang w:val="en-US" w:eastAsia="zh-CN"/>
              </w:rPr>
              <w:t>套色木刻</w:t>
            </w:r>
            <w:r>
              <w:rPr>
                <w:rFonts w:hint="eastAsia" w:ascii="Times New Roman" w:hAnsi="Times New Roman" w:eastAsia="宋体" w:cs="Times New Roman"/>
                <w:color w:val="auto"/>
                <w:szCs w:val="21"/>
              </w:rPr>
              <w:t>的基本理论，开展</w:t>
            </w:r>
            <w:r>
              <w:rPr>
                <w:rFonts w:hint="eastAsia" w:ascii="Times New Roman" w:hAnsi="Times New Roman" w:eastAsia="宋体" w:cs="Times New Roman"/>
                <w:color w:val="auto"/>
                <w:szCs w:val="21"/>
                <w:lang w:val="en-US" w:eastAsia="zh-CN"/>
              </w:rPr>
              <w:t>套色木刻的创作程序</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选取优秀套色木刻作品作为范本进行分析借鉴,掌握套色木刻创作的基本制作方法。</w:t>
            </w:r>
          </w:p>
        </w:tc>
      </w:tr>
      <w:tr w14:paraId="08CF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7"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0CC468C">
            <w:pPr>
              <w:rPr>
                <w:rFonts w:ascii="宋体" w:hAnsi="宋体" w:cs="宋体"/>
              </w:rPr>
            </w:pPr>
            <w:r>
              <w:rPr>
                <w:rFonts w:ascii="宋体" w:hAnsi="宋体" w:cs="宋体"/>
              </w:rPr>
              <w:t>毕业要求</w:t>
            </w:r>
            <w:r>
              <w:rPr>
                <w:rFonts w:hint="eastAsia" w:ascii="宋体" w:hAnsi="宋体" w:cs="宋体"/>
                <w:lang w:val="en-US" w:eastAsia="zh-CN"/>
              </w:rPr>
              <w:t>4</w:t>
            </w:r>
            <w:r>
              <w:rPr>
                <w:rFonts w:ascii="宋体" w:hAnsi="宋体" w:cs="宋体"/>
              </w:rPr>
              <w:t>：</w:t>
            </w:r>
            <w:r>
              <w:rPr>
                <w:rFonts w:hint="eastAsia" w:ascii="宋体" w:hAnsi="宋体" w:cs="宋体"/>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14:paraId="4A97D9B2">
            <w:pPr>
              <w:rPr>
                <w:rFonts w:ascii="Times New Roman" w:hAnsi="Times New Roman" w:cs="Times New Roman"/>
                <w:color w:val="000000"/>
                <w:szCs w:val="21"/>
              </w:rPr>
            </w:pPr>
            <w:r>
              <w:rPr>
                <w:rFonts w:hint="eastAsia" w:ascii="宋体" w:hAnsi="宋体" w:cs="宋体"/>
                <w:lang w:val="en-US" w:eastAsia="zh-CN" w:bidi="ar"/>
              </w:rPr>
              <w:t>4</w:t>
            </w:r>
            <w:r>
              <w:rPr>
                <w:rFonts w:ascii="宋体" w:hAnsi="宋体" w:cs="宋体"/>
                <w:lang w:bidi="ar"/>
              </w:rPr>
              <w:t>.</w:t>
            </w:r>
            <w:r>
              <w:rPr>
                <w:rFonts w:hint="eastAsia" w:ascii="宋体" w:hAnsi="宋体" w:cs="宋体"/>
                <w:lang w:val="en-US" w:eastAsia="zh-CN" w:bidi="ar"/>
              </w:rPr>
              <w:t>1</w:t>
            </w:r>
            <w:r>
              <w:rPr>
                <w:rFonts w:hint="eastAsia" w:ascii="宋体" w:hAnsi="宋体" w:cs="宋体"/>
                <w:lang w:bidi="ar"/>
              </w:rPr>
              <w:t>[教学技能]利用跨学科知识整合指导方法与策略去指导学生；能有效利用现代信息技术进行美术学教学设计、实施与评价，用美育的手段促进中学生的全面及个性发展。</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14:paraId="5E3C246A">
            <w:pPr>
              <w:rPr>
                <w:rFonts w:ascii="宋体" w:hAnsi="宋体" w:cs="宋体"/>
              </w:rPr>
            </w:pPr>
            <w:r>
              <w:rPr>
                <w:rFonts w:hint="eastAsia" w:ascii="Times New Roman" w:hAnsi="Times New Roman" w:eastAsia="宋体" w:cs="Times New Roman"/>
                <w:szCs w:val="21"/>
              </w:rPr>
              <w:t>在</w:t>
            </w:r>
            <w:r>
              <w:rPr>
                <w:rFonts w:hint="eastAsia" w:ascii="Times New Roman" w:hAnsi="Times New Roman" w:eastAsia="宋体" w:cs="Times New Roman"/>
                <w:szCs w:val="21"/>
                <w:lang w:val="en-US" w:eastAsia="zh-CN"/>
              </w:rPr>
              <w:t>临摹</w:t>
            </w:r>
            <w:r>
              <w:rPr>
                <w:rFonts w:hint="eastAsia" w:ascii="Times New Roman" w:hAnsi="Times New Roman" w:eastAsia="宋体" w:cs="Times New Roman"/>
                <w:szCs w:val="21"/>
              </w:rPr>
              <w:t>实践、理论认知过程中，开展教师素养和能力训练，运用掌握的</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基础知识和实践方法，进行作品赏析。</w:t>
            </w:r>
          </w:p>
        </w:tc>
      </w:tr>
      <w:tr w14:paraId="6F46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507"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4EEBCA2">
            <w:pPr>
              <w:spacing w:line="360" w:lineRule="auto"/>
              <w:rPr>
                <w:rFonts w:ascii="Times New Roman" w:hAnsi="Times New Roman" w:cs="Times New Roman"/>
                <w:color w:val="548DD4"/>
                <w:szCs w:val="21"/>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14:paraId="2D7301F5">
            <w:pPr>
              <w:spacing w:after="156" w:afterLines="50" w:line="310" w:lineRule="exact"/>
              <w:rPr>
                <w:rFonts w:ascii="宋体" w:hAnsi="宋体" w:cs="宋体"/>
              </w:rPr>
            </w:pPr>
            <w:r>
              <w:rPr>
                <w:rFonts w:hint="eastAsia" w:ascii="宋体" w:hAnsi="宋体" w:cs="宋体"/>
                <w:lang w:val="en-US" w:eastAsia="zh-CN"/>
              </w:rPr>
              <w:t>4</w:t>
            </w:r>
            <w:r>
              <w:rPr>
                <w:rFonts w:ascii="宋体" w:hAnsi="宋体" w:cs="宋体"/>
              </w:rPr>
              <w:t>.</w:t>
            </w:r>
            <w:r>
              <w:rPr>
                <w:rFonts w:hint="eastAsia" w:ascii="宋体" w:hAnsi="宋体" w:cs="宋体"/>
                <w:lang w:val="en-US" w:bidi="zh-CN"/>
              </w:rPr>
              <w:t>2</w:t>
            </w:r>
            <w:r>
              <w:rPr>
                <w:rFonts w:hint="eastAsia" w:ascii="宋体" w:hAnsi="宋体" w:cs="宋体"/>
              </w:rPr>
              <w:t>[教学实施]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14:paraId="07295FEC">
            <w:pPr>
              <w:rPr>
                <w:rFonts w:ascii="宋体" w:hAnsi="宋体" w:cs="宋体"/>
              </w:rPr>
            </w:pPr>
            <w:r>
              <w:rPr>
                <w:rFonts w:hint="eastAsia" w:ascii="Times New Roman" w:hAnsi="Times New Roman" w:eastAsia="宋体" w:cs="Times New Roman"/>
                <w:szCs w:val="21"/>
              </w:rPr>
              <w:t>对中国近现代代表性</w:t>
            </w:r>
            <w:r>
              <w:rPr>
                <w:rFonts w:hint="eastAsia" w:ascii="Times New Roman" w:hAnsi="Times New Roman" w:eastAsia="宋体" w:cs="Times New Roman"/>
                <w:szCs w:val="21"/>
                <w:lang w:val="en-US" w:eastAsia="zh-CN"/>
              </w:rPr>
              <w:t>套色木刻</w:t>
            </w:r>
            <w:r>
              <w:rPr>
                <w:rFonts w:hint="eastAsia" w:ascii="Times New Roman" w:hAnsi="Times New Roman" w:eastAsia="宋体" w:cs="Times New Roman"/>
                <w:szCs w:val="21"/>
              </w:rPr>
              <w:t>作品进行赏析，如</w:t>
            </w:r>
            <w:r>
              <w:rPr>
                <w:rFonts w:hint="eastAsia" w:ascii="Times New Roman" w:hAnsi="Times New Roman" w:eastAsia="宋体" w:cs="Times New Roman"/>
                <w:szCs w:val="21"/>
                <w:lang w:val="en-US" w:eastAsia="zh-CN"/>
              </w:rPr>
              <w:t>康宁</w:t>
            </w:r>
            <w:r>
              <w:rPr>
                <w:rFonts w:hint="eastAsia" w:ascii="Times New Roman" w:hAnsi="Times New Roman" w:eastAsia="宋体" w:cs="Times New Roman"/>
                <w:szCs w:val="21"/>
              </w:rPr>
              <w:t>作品进行赏析，</w:t>
            </w:r>
            <w:r>
              <w:rPr>
                <w:rFonts w:hint="eastAsia" w:ascii="Times New Roman" w:hAnsi="Times New Roman" w:eastAsia="宋体" w:cs="Times New Roman"/>
                <w:szCs w:val="21"/>
                <w:lang w:val="en-US" w:eastAsia="zh-CN"/>
              </w:rPr>
              <w:t>掌握赏析基本方法，</w:t>
            </w:r>
            <w:r>
              <w:rPr>
                <w:rFonts w:hint="eastAsia" w:ascii="Times New Roman" w:hAnsi="Times New Roman" w:eastAsia="宋体" w:cs="Times New Roman"/>
                <w:szCs w:val="21"/>
              </w:rPr>
              <w:t>开展课程思政。</w:t>
            </w:r>
          </w:p>
        </w:tc>
      </w:tr>
      <w:tr w14:paraId="1EC7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1507" w:type="pct"/>
            <w:tcBorders>
              <w:top w:val="single" w:color="auto" w:sz="4" w:space="0"/>
              <w:left w:val="single" w:color="auto" w:sz="4" w:space="0"/>
              <w:bottom w:val="single" w:color="auto" w:sz="4" w:space="0"/>
              <w:right w:val="single" w:color="auto" w:sz="4" w:space="0"/>
              <w:tl2br w:val="nil"/>
              <w:tr2bl w:val="nil"/>
            </w:tcBorders>
            <w:vAlign w:val="center"/>
          </w:tcPr>
          <w:p w14:paraId="6A80A1DF">
            <w:pPr>
              <w:rPr>
                <w:rFonts w:ascii="Times New Roman" w:hAnsi="Times New Roman" w:cs="Times New Roman"/>
                <w:color w:val="000000"/>
                <w:szCs w:val="21"/>
              </w:rPr>
            </w:pPr>
            <w:r>
              <w:rPr>
                <w:rFonts w:ascii="宋体" w:hAnsi="宋体" w:cs="宋体"/>
              </w:rPr>
              <w:t>毕业要求</w:t>
            </w:r>
            <w:r>
              <w:rPr>
                <w:rFonts w:hint="eastAsia" w:ascii="宋体" w:hAnsi="宋体" w:cs="宋体"/>
                <w:lang w:val="en-US" w:eastAsia="zh-CN"/>
              </w:rPr>
              <w:t>8</w:t>
            </w:r>
            <w:r>
              <w:rPr>
                <w:rFonts w:ascii="宋体" w:hAnsi="宋体" w:cs="宋体"/>
              </w:rPr>
              <w:t>：</w:t>
            </w:r>
            <w:r>
              <w:rPr>
                <w:rFonts w:hint="eastAsia" w:ascii="宋体" w:hAnsi="宋体" w:cs="宋体"/>
              </w:rPr>
              <w:t>[沟通合作] 理解学习共同体的作用，具有较好的沟通能力和团队协作精神；具有团队互助与协作学习体验，善于合作，乐于与学习伙伴分享交流实践经验，共同探讨解决问题。</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14:paraId="3EA16A55">
            <w:pPr>
              <w:rPr>
                <w:rFonts w:ascii="Times New Roman" w:hAnsi="Times New Roman" w:cs="Times New Roman"/>
                <w:color w:val="000000"/>
                <w:szCs w:val="21"/>
              </w:rPr>
            </w:pPr>
            <w:r>
              <w:rPr>
                <w:rFonts w:hint="eastAsia" w:ascii="宋体" w:hAnsi="宋体" w:cs="宋体"/>
                <w:lang w:val="en-US" w:eastAsia="zh-CN"/>
              </w:rPr>
              <w:t>8</w:t>
            </w:r>
            <w:r>
              <w:rPr>
                <w:rFonts w:ascii="宋体" w:hAnsi="宋体" w:cs="宋体"/>
              </w:rPr>
              <w:t>.</w:t>
            </w:r>
            <w:r>
              <w:rPr>
                <w:rFonts w:hint="eastAsia" w:ascii="宋体" w:hAnsi="宋体" w:cs="宋体"/>
              </w:rPr>
              <w:t>1[团队合作] 理解交流合作对教师专业发展、教育教学活动的重要性，掌握建构学习共同体的各要素功能，具有组织和指导学习共同体的能力；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14:paraId="0ABA1BD8">
            <w:pPr>
              <w:jc w:val="center"/>
              <w:rPr>
                <w:rFonts w:ascii="Times New Roman" w:hAnsi="Times New Roman" w:cs="Times New Roman"/>
                <w:color w:val="000000"/>
                <w:szCs w:val="21"/>
              </w:rPr>
            </w:pPr>
            <w:r>
              <w:rPr>
                <w:rFonts w:hint="eastAsia" w:ascii="Times New Roman" w:hAnsi="Times New Roman" w:eastAsia="宋体" w:cs="Times New Roman"/>
                <w:szCs w:val="21"/>
              </w:rPr>
              <w:t>在分组</w:t>
            </w:r>
            <w:r>
              <w:rPr>
                <w:rFonts w:hint="eastAsia" w:ascii="Times New Roman" w:hAnsi="Times New Roman" w:eastAsia="宋体" w:cs="Times New Roman"/>
                <w:szCs w:val="21"/>
                <w:lang w:val="en-US" w:eastAsia="zh-CN"/>
              </w:rPr>
              <w:t>临摹</w:t>
            </w:r>
            <w:r>
              <w:rPr>
                <w:rFonts w:hint="eastAsia" w:ascii="Times New Roman" w:hAnsi="Times New Roman" w:eastAsia="宋体" w:cs="Times New Roman"/>
                <w:szCs w:val="21"/>
              </w:rPr>
              <w:t>实践和</w:t>
            </w:r>
            <w:r>
              <w:rPr>
                <w:rFonts w:hint="eastAsia" w:ascii="Times New Roman" w:hAnsi="Times New Roman" w:eastAsia="宋体" w:cs="Times New Roman"/>
                <w:szCs w:val="21"/>
                <w:lang w:val="en-US" w:eastAsia="zh-CN"/>
              </w:rPr>
              <w:t>创作</w:t>
            </w:r>
            <w:r>
              <w:rPr>
                <w:rFonts w:hint="eastAsia" w:ascii="Times New Roman" w:hAnsi="Times New Roman" w:eastAsia="宋体" w:cs="Times New Roman"/>
                <w:szCs w:val="21"/>
              </w:rPr>
              <w:t>劳动实践中体现出团队合作的精神。能够建立良好的沟通、表达能力。</w:t>
            </w:r>
          </w:p>
        </w:tc>
      </w:tr>
    </w:tbl>
    <w:p w14:paraId="6787D3DD">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14:paraId="08FE0628">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14:paraId="325FED20">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94"/>
        <w:gridCol w:w="1054"/>
        <w:gridCol w:w="5827"/>
        <w:gridCol w:w="690"/>
        <w:gridCol w:w="848"/>
        <w:gridCol w:w="690"/>
        <w:gridCol w:w="496"/>
        <w:gridCol w:w="1088"/>
        <w:gridCol w:w="929"/>
      </w:tblGrid>
      <w:tr w14:paraId="249F6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504" w:type="dxa"/>
            <w:vAlign w:val="center"/>
          </w:tcPr>
          <w:p w14:paraId="03C80FDE">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2094" w:type="dxa"/>
            <w:vAlign w:val="center"/>
          </w:tcPr>
          <w:p w14:paraId="00D41FF5">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1054" w:type="dxa"/>
            <w:vAlign w:val="center"/>
          </w:tcPr>
          <w:p w14:paraId="58B7C887">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5827" w:type="dxa"/>
            <w:vAlign w:val="center"/>
          </w:tcPr>
          <w:p w14:paraId="6127C128">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color w:val="auto"/>
                <w:kern w:val="0"/>
                <w:sz w:val="20"/>
                <w:szCs w:val="21"/>
              </w:rPr>
              <w:t>教学目标（观测点、重难点）</w:t>
            </w:r>
          </w:p>
        </w:tc>
        <w:tc>
          <w:tcPr>
            <w:tcW w:w="690" w:type="dxa"/>
            <w:vAlign w:val="center"/>
          </w:tcPr>
          <w:p w14:paraId="78FBDD1D">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848" w:type="dxa"/>
            <w:vAlign w:val="center"/>
          </w:tcPr>
          <w:p w14:paraId="7B69437F">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690" w:type="dxa"/>
            <w:vAlign w:val="center"/>
          </w:tcPr>
          <w:p w14:paraId="4AB27E58">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496" w:type="dxa"/>
            <w:vAlign w:val="center"/>
          </w:tcPr>
          <w:p w14:paraId="37AB34EE">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1088" w:type="dxa"/>
            <w:vAlign w:val="center"/>
          </w:tcPr>
          <w:p w14:paraId="6BECF7E2">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929" w:type="dxa"/>
            <w:vAlign w:val="center"/>
          </w:tcPr>
          <w:p w14:paraId="604A541A">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14:paraId="6A254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504" w:type="dxa"/>
            <w:vMerge w:val="restart"/>
            <w:vAlign w:val="center"/>
          </w:tcPr>
          <w:p w14:paraId="5EDF3FA0">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2094" w:type="dxa"/>
            <w:vMerge w:val="restart"/>
            <w:vAlign w:val="center"/>
          </w:tcPr>
          <w:p w14:paraId="7DCFE436">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1：</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基本概念、发展概况</w:t>
            </w:r>
          </w:p>
        </w:tc>
        <w:tc>
          <w:tcPr>
            <w:tcW w:w="1054" w:type="dxa"/>
            <w:vMerge w:val="restart"/>
            <w:vAlign w:val="center"/>
          </w:tcPr>
          <w:p w14:paraId="152C8AC1">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14:paraId="0CAE6B23">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的概念、发展历史和基本形式。</w:t>
            </w:r>
          </w:p>
        </w:tc>
        <w:tc>
          <w:tcPr>
            <w:tcW w:w="690" w:type="dxa"/>
            <w:vMerge w:val="restart"/>
            <w:vAlign w:val="center"/>
          </w:tcPr>
          <w:p w14:paraId="5753EBC7">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848" w:type="dxa"/>
            <w:vMerge w:val="restart"/>
            <w:vAlign w:val="center"/>
          </w:tcPr>
          <w:p w14:paraId="5D40B8FE">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14:paraId="48B1058B">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14:paraId="691BE0C2">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14:paraId="4B9E9C53">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讲授法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查阅文献</w:t>
            </w:r>
            <w:r>
              <w:rPr>
                <w:rFonts w:hint="eastAsia" w:ascii="Times New Roman" w:hAnsi="Times New Roman" w:eastAsia="宋体" w:cs="Times New Roman"/>
                <w:kern w:val="0"/>
                <w:szCs w:val="21"/>
                <w:lang w:val="en-US" w:eastAsia="zh-CN"/>
              </w:rPr>
              <w:t>法</w:t>
            </w:r>
            <w:r>
              <w:rPr>
                <w:rFonts w:hint="eastAsia" w:ascii="Times New Roman" w:hAnsi="Times New Roman" w:eastAsia="宋体" w:cs="Times New Roman"/>
                <w:kern w:val="0"/>
                <w:szCs w:val="21"/>
              </w:rPr>
              <w:t>、自主学习法</w:t>
            </w:r>
          </w:p>
        </w:tc>
        <w:tc>
          <w:tcPr>
            <w:tcW w:w="929" w:type="dxa"/>
            <w:vMerge w:val="restart"/>
            <w:vAlign w:val="center"/>
          </w:tcPr>
          <w:p w14:paraId="28D329A7">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p>
        </w:tc>
      </w:tr>
      <w:tr w14:paraId="107C6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504" w:type="dxa"/>
            <w:vMerge w:val="continue"/>
            <w:vAlign w:val="center"/>
          </w:tcPr>
          <w:p w14:paraId="2845569C">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14:paraId="38481467">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14:paraId="6E0BAE11">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14:paraId="44A21C02">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val="en-US" w:eastAsia="zh-CN"/>
              </w:rPr>
              <w:t>套色木刻创</w:t>
            </w:r>
            <w:r>
              <w:rPr>
                <w:rFonts w:hint="eastAsia" w:ascii="Times New Roman" w:hAnsi="Times New Roman" w:eastAsia="宋体" w:cs="Times New Roman"/>
                <w:kern w:val="0"/>
                <w:szCs w:val="21"/>
              </w:rPr>
              <w:t>作的基本步骤和方法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理解套色木刻</w:t>
            </w:r>
            <w:r>
              <w:rPr>
                <w:rFonts w:hint="eastAsia" w:ascii="Times New Roman" w:hAnsi="Times New Roman" w:eastAsia="宋体" w:cs="Times New Roman"/>
                <w:kern w:val="0"/>
                <w:szCs w:val="21"/>
              </w:rPr>
              <w:t>基本形式的审美特点，</w:t>
            </w:r>
          </w:p>
        </w:tc>
        <w:tc>
          <w:tcPr>
            <w:tcW w:w="690" w:type="dxa"/>
            <w:vMerge w:val="continue"/>
            <w:vAlign w:val="center"/>
          </w:tcPr>
          <w:p w14:paraId="165E6AAA">
            <w:pPr>
              <w:spacing w:line="300" w:lineRule="exact"/>
              <w:jc w:val="center"/>
              <w:rPr>
                <w:rFonts w:ascii="Times New Roman" w:hAnsi="Times New Roman" w:eastAsia="宋体" w:cs="Times New Roman"/>
                <w:kern w:val="0"/>
                <w:szCs w:val="21"/>
              </w:rPr>
            </w:pPr>
          </w:p>
        </w:tc>
        <w:tc>
          <w:tcPr>
            <w:tcW w:w="848" w:type="dxa"/>
            <w:vMerge w:val="continue"/>
            <w:vAlign w:val="center"/>
          </w:tcPr>
          <w:p w14:paraId="2A3CB46C">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14:paraId="036CB1CC">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14:paraId="585D9B06">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14:paraId="146F847A">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14:paraId="4FD57436">
            <w:pPr>
              <w:adjustRightInd w:val="0"/>
              <w:snapToGrid w:val="0"/>
              <w:spacing w:line="300" w:lineRule="exact"/>
              <w:jc w:val="center"/>
              <w:rPr>
                <w:rFonts w:ascii="Times New Roman" w:hAnsi="Times New Roman" w:eastAsia="宋体" w:cs="Times New Roman"/>
                <w:kern w:val="0"/>
                <w:szCs w:val="21"/>
              </w:rPr>
            </w:pPr>
          </w:p>
        </w:tc>
      </w:tr>
      <w:tr w14:paraId="1072A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504" w:type="dxa"/>
            <w:vMerge w:val="continue"/>
            <w:vAlign w:val="center"/>
          </w:tcPr>
          <w:p w14:paraId="0F506E13">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14:paraId="1CE2F262">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14:paraId="41AB9DFD">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14:paraId="778BBD46">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了解中国现当代</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发展情况</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发展方向，坚定对事物美感表达态度</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建立版画创作和社会发展相互联系的基本关系。</w:t>
            </w:r>
          </w:p>
        </w:tc>
        <w:tc>
          <w:tcPr>
            <w:tcW w:w="690" w:type="dxa"/>
            <w:vMerge w:val="continue"/>
            <w:vAlign w:val="center"/>
          </w:tcPr>
          <w:p w14:paraId="6E7E8C9F">
            <w:pPr>
              <w:spacing w:line="300" w:lineRule="exact"/>
              <w:jc w:val="center"/>
              <w:rPr>
                <w:rFonts w:ascii="Times New Roman" w:hAnsi="Times New Roman" w:eastAsia="宋体" w:cs="Times New Roman"/>
                <w:kern w:val="0"/>
                <w:szCs w:val="21"/>
              </w:rPr>
            </w:pPr>
          </w:p>
        </w:tc>
        <w:tc>
          <w:tcPr>
            <w:tcW w:w="848" w:type="dxa"/>
            <w:vMerge w:val="continue"/>
            <w:vAlign w:val="center"/>
          </w:tcPr>
          <w:p w14:paraId="687D8ABF">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14:paraId="2B0CF304">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14:paraId="3B3AAA8A">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14:paraId="30510D00">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14:paraId="5A91E491">
            <w:pPr>
              <w:adjustRightInd w:val="0"/>
              <w:snapToGrid w:val="0"/>
              <w:spacing w:line="300" w:lineRule="exact"/>
              <w:jc w:val="center"/>
              <w:rPr>
                <w:rFonts w:ascii="Times New Roman" w:hAnsi="Times New Roman" w:eastAsia="宋体" w:cs="Times New Roman"/>
                <w:kern w:val="0"/>
                <w:szCs w:val="21"/>
              </w:rPr>
            </w:pPr>
          </w:p>
        </w:tc>
      </w:tr>
      <w:tr w14:paraId="712A0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504" w:type="dxa"/>
            <w:vMerge w:val="restart"/>
            <w:vAlign w:val="center"/>
          </w:tcPr>
          <w:p w14:paraId="12E10ADC">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2094" w:type="dxa"/>
            <w:vMerge w:val="restart"/>
            <w:vAlign w:val="center"/>
          </w:tcPr>
          <w:p w14:paraId="5D3A5FCC">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2：</w:t>
            </w:r>
            <w:r>
              <w:rPr>
                <w:rFonts w:hint="eastAsia" w:ascii="Times New Roman" w:hAnsi="Times New Roman" w:eastAsia="宋体" w:cs="Times New Roman"/>
                <w:kern w:val="0"/>
                <w:szCs w:val="21"/>
                <w:lang w:val="en-US" w:eastAsia="zh-CN"/>
              </w:rPr>
              <w:t>套色木刻临摹</w:t>
            </w:r>
            <w:r>
              <w:rPr>
                <w:rFonts w:hint="eastAsia" w:ascii="Times New Roman" w:hAnsi="Times New Roman" w:eastAsia="宋体" w:cs="Times New Roman"/>
                <w:kern w:val="0"/>
                <w:szCs w:val="21"/>
              </w:rPr>
              <w:t>实践</w:t>
            </w:r>
          </w:p>
        </w:tc>
        <w:tc>
          <w:tcPr>
            <w:tcW w:w="1054" w:type="dxa"/>
            <w:vMerge w:val="restart"/>
            <w:vAlign w:val="center"/>
          </w:tcPr>
          <w:p w14:paraId="38533955">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14:paraId="04469AE3">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开展套色木刻创作实践劳动，</w:t>
            </w:r>
            <w:r>
              <w:rPr>
                <w:rFonts w:hint="eastAsia" w:ascii="Times New Roman" w:hAnsi="Times New Roman" w:eastAsia="宋体" w:cs="Times New Roman"/>
                <w:kern w:val="0"/>
                <w:szCs w:val="21"/>
              </w:rPr>
              <w:t>能够掌握</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工具</w:t>
            </w:r>
            <w:r>
              <w:rPr>
                <w:rFonts w:hint="eastAsia" w:ascii="Times New Roman" w:hAnsi="Times New Roman" w:eastAsia="宋体" w:cs="Times New Roman"/>
                <w:kern w:val="0"/>
                <w:szCs w:val="21"/>
                <w:lang w:val="en-US" w:eastAsia="zh-CN"/>
              </w:rPr>
              <w:t>包括媒介、油墨、板材</w:t>
            </w:r>
            <w:r>
              <w:rPr>
                <w:rFonts w:hint="eastAsia" w:ascii="Times New Roman" w:hAnsi="Times New Roman" w:eastAsia="宋体" w:cs="Times New Roman"/>
                <w:kern w:val="0"/>
                <w:szCs w:val="21"/>
              </w:rPr>
              <w:t>的基本特性</w:t>
            </w:r>
            <w:r>
              <w:rPr>
                <w:rFonts w:hint="eastAsia" w:ascii="Times New Roman" w:hAnsi="Times New Roman" w:eastAsia="宋体" w:cs="Times New Roman"/>
                <w:kern w:val="0"/>
                <w:szCs w:val="21"/>
                <w:lang w:val="en-US" w:eastAsia="zh-CN"/>
              </w:rPr>
              <w:t>的认识，并形成一定的感受</w:t>
            </w:r>
            <w:r>
              <w:rPr>
                <w:rFonts w:hint="eastAsia" w:ascii="Times New Roman" w:hAnsi="Times New Roman" w:eastAsia="宋体" w:cs="Times New Roman"/>
                <w:kern w:val="0"/>
                <w:szCs w:val="21"/>
                <w:lang w:eastAsia="zh-CN"/>
              </w:rPr>
              <w:t>。</w:t>
            </w:r>
          </w:p>
        </w:tc>
        <w:tc>
          <w:tcPr>
            <w:tcW w:w="690" w:type="dxa"/>
            <w:vMerge w:val="restart"/>
            <w:vAlign w:val="center"/>
          </w:tcPr>
          <w:p w14:paraId="22356209">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20</w:t>
            </w:r>
          </w:p>
        </w:tc>
        <w:tc>
          <w:tcPr>
            <w:tcW w:w="848" w:type="dxa"/>
            <w:vMerge w:val="restart"/>
            <w:vAlign w:val="center"/>
          </w:tcPr>
          <w:p w14:paraId="33563392">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14:paraId="7C1A7A53">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14:paraId="0127F1F4">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14:paraId="2ECEF8AD">
            <w:pPr>
              <w:pStyle w:val="25"/>
              <w:kinsoku w:val="0"/>
              <w:overflowPunct w:val="0"/>
              <w:spacing w:line="240" w:lineRule="exact"/>
              <w:rPr>
                <w:rFonts w:ascii="Times New Roman" w:cs="Times New Roman"/>
                <w:sz w:val="21"/>
                <w:szCs w:val="21"/>
              </w:rPr>
            </w:pPr>
            <w:r>
              <w:rPr>
                <w:rFonts w:ascii="Times New Roman" w:cs="Times New Roman"/>
                <w:sz w:val="21"/>
                <w:szCs w:val="21"/>
              </w:rPr>
              <w:t>讲授法</w:t>
            </w:r>
            <w:r>
              <w:rPr>
                <w:rFonts w:hint="eastAsia" w:ascii="Times New Roman" w:cs="Times New Roman"/>
                <w:sz w:val="21"/>
                <w:szCs w:val="21"/>
                <w:lang w:eastAsia="zh-CN"/>
              </w:rPr>
              <w:t>、</w:t>
            </w:r>
            <w:r>
              <w:rPr>
                <w:rFonts w:ascii="Times New Roman" w:cs="Times New Roman"/>
                <w:sz w:val="21"/>
                <w:szCs w:val="21"/>
              </w:rPr>
              <w:t>示范结合</w:t>
            </w:r>
          </w:p>
          <w:p w14:paraId="13A30685">
            <w:pPr>
              <w:pStyle w:val="25"/>
              <w:kinsoku w:val="0"/>
              <w:overflowPunct w:val="0"/>
              <w:spacing w:line="240" w:lineRule="exact"/>
              <w:rPr>
                <w:rFonts w:hint="default" w:ascii="Times New Roman" w:cs="Times New Roman"/>
                <w:sz w:val="21"/>
                <w:szCs w:val="21"/>
                <w:lang w:val="en-US" w:eastAsia="zh-CN"/>
              </w:rPr>
            </w:pPr>
            <w:r>
              <w:rPr>
                <w:rFonts w:hint="eastAsia" w:ascii="Times New Roman" w:cs="Times New Roman"/>
                <w:sz w:val="21"/>
                <w:szCs w:val="21"/>
              </w:rPr>
              <w:t>赏析讲解</w:t>
            </w:r>
            <w:r>
              <w:rPr>
                <w:rFonts w:hint="eastAsia" w:ascii="Times New Roman" w:cs="Times New Roman"/>
                <w:sz w:val="21"/>
                <w:szCs w:val="21"/>
                <w:lang w:eastAsia="zh-CN"/>
              </w:rPr>
              <w:t>，</w:t>
            </w:r>
            <w:r>
              <w:rPr>
                <w:rFonts w:hint="eastAsia" w:ascii="Times New Roman" w:cs="Times New Roman"/>
                <w:sz w:val="21"/>
                <w:szCs w:val="21"/>
                <w:lang w:val="en-US" w:eastAsia="zh-CN"/>
              </w:rPr>
              <w:t>个别指导。</w:t>
            </w:r>
          </w:p>
        </w:tc>
        <w:tc>
          <w:tcPr>
            <w:tcW w:w="929" w:type="dxa"/>
            <w:vMerge w:val="restart"/>
            <w:vAlign w:val="center"/>
          </w:tcPr>
          <w:p w14:paraId="3DDEF261">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2.3</w:t>
            </w:r>
          </w:p>
        </w:tc>
      </w:tr>
      <w:tr w14:paraId="06D4E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4" w:type="dxa"/>
            <w:vMerge w:val="continue"/>
            <w:vAlign w:val="center"/>
          </w:tcPr>
          <w:p w14:paraId="41B95B9E">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14:paraId="738F5D33">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14:paraId="01E19264">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14:paraId="2CD3BDE0">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val="en-US" w:eastAsia="zh-CN"/>
              </w:rPr>
              <w:t>套色木刻创作</w:t>
            </w:r>
            <w:r>
              <w:rPr>
                <w:rFonts w:hint="eastAsia" w:ascii="Times New Roman" w:hAnsi="Times New Roman" w:eastAsia="宋体" w:cs="Times New Roman"/>
                <w:kern w:val="0"/>
                <w:szCs w:val="21"/>
              </w:rPr>
              <w:t>的基本步骤和</w:t>
            </w:r>
            <w:r>
              <w:rPr>
                <w:rFonts w:hint="eastAsia" w:ascii="Times New Roman" w:hAnsi="Times New Roman" w:eastAsia="宋体" w:cs="Times New Roman"/>
                <w:kern w:val="0"/>
                <w:szCs w:val="21"/>
                <w:lang w:val="en-US" w:eastAsia="zh-CN"/>
              </w:rPr>
              <w:t>观察</w:t>
            </w:r>
            <w:r>
              <w:rPr>
                <w:rFonts w:hint="eastAsia" w:ascii="Times New Roman" w:hAnsi="Times New Roman" w:eastAsia="宋体" w:cs="Times New Roman"/>
                <w:kern w:val="0"/>
                <w:szCs w:val="21"/>
              </w:rPr>
              <w:t>方法。</w:t>
            </w:r>
          </w:p>
        </w:tc>
        <w:tc>
          <w:tcPr>
            <w:tcW w:w="690" w:type="dxa"/>
            <w:vMerge w:val="continue"/>
            <w:vAlign w:val="center"/>
          </w:tcPr>
          <w:p w14:paraId="7E914F3A">
            <w:pPr>
              <w:spacing w:line="300" w:lineRule="exact"/>
              <w:jc w:val="center"/>
              <w:rPr>
                <w:rFonts w:ascii="Times New Roman" w:hAnsi="Times New Roman" w:eastAsia="宋体" w:cs="Times New Roman"/>
                <w:kern w:val="0"/>
                <w:szCs w:val="21"/>
              </w:rPr>
            </w:pPr>
          </w:p>
        </w:tc>
        <w:tc>
          <w:tcPr>
            <w:tcW w:w="848" w:type="dxa"/>
            <w:vMerge w:val="continue"/>
            <w:vAlign w:val="center"/>
          </w:tcPr>
          <w:p w14:paraId="0F8CE0CC">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14:paraId="6EA067CF">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14:paraId="45272D9D">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14:paraId="5399F7CD">
            <w:pPr>
              <w:pStyle w:val="25"/>
              <w:kinsoku w:val="0"/>
              <w:overflowPunct w:val="0"/>
              <w:spacing w:line="240" w:lineRule="exact"/>
              <w:rPr>
                <w:rFonts w:ascii="Times New Roman" w:cs="Times New Roman"/>
                <w:sz w:val="21"/>
                <w:szCs w:val="21"/>
              </w:rPr>
            </w:pPr>
          </w:p>
        </w:tc>
        <w:tc>
          <w:tcPr>
            <w:tcW w:w="929" w:type="dxa"/>
            <w:vMerge w:val="continue"/>
            <w:vAlign w:val="center"/>
          </w:tcPr>
          <w:p w14:paraId="6A3C7BB5">
            <w:pPr>
              <w:adjustRightInd w:val="0"/>
              <w:snapToGrid w:val="0"/>
              <w:spacing w:line="300" w:lineRule="exact"/>
              <w:jc w:val="center"/>
              <w:rPr>
                <w:rFonts w:ascii="Times New Roman" w:hAnsi="Times New Roman" w:eastAsia="宋体" w:cs="Times New Roman"/>
                <w:kern w:val="0"/>
                <w:szCs w:val="21"/>
              </w:rPr>
            </w:pPr>
          </w:p>
        </w:tc>
      </w:tr>
      <w:tr w14:paraId="33425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04" w:type="dxa"/>
            <w:vMerge w:val="continue"/>
            <w:vAlign w:val="center"/>
          </w:tcPr>
          <w:p w14:paraId="50433716">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14:paraId="765DBAA6">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14:paraId="34D3C239">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14:paraId="76BA7CF2">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学生参与</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构图、形式、节奏、审美训练，能够获得对形式美感的认知。</w:t>
            </w:r>
          </w:p>
        </w:tc>
        <w:tc>
          <w:tcPr>
            <w:tcW w:w="690" w:type="dxa"/>
            <w:vMerge w:val="continue"/>
            <w:vAlign w:val="center"/>
          </w:tcPr>
          <w:p w14:paraId="4A102D96">
            <w:pPr>
              <w:spacing w:line="300" w:lineRule="exact"/>
              <w:jc w:val="center"/>
              <w:rPr>
                <w:rFonts w:ascii="Times New Roman" w:hAnsi="Times New Roman" w:eastAsia="宋体" w:cs="Times New Roman"/>
                <w:kern w:val="0"/>
                <w:szCs w:val="21"/>
              </w:rPr>
            </w:pPr>
          </w:p>
        </w:tc>
        <w:tc>
          <w:tcPr>
            <w:tcW w:w="848" w:type="dxa"/>
            <w:vMerge w:val="continue"/>
            <w:vAlign w:val="center"/>
          </w:tcPr>
          <w:p w14:paraId="084FDA89">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14:paraId="73F70A67">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14:paraId="6848E694">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14:paraId="5AF88380">
            <w:pPr>
              <w:pStyle w:val="25"/>
              <w:kinsoku w:val="0"/>
              <w:overflowPunct w:val="0"/>
              <w:spacing w:line="240" w:lineRule="exact"/>
              <w:rPr>
                <w:rFonts w:ascii="Times New Roman" w:cs="Times New Roman"/>
                <w:sz w:val="21"/>
                <w:szCs w:val="21"/>
              </w:rPr>
            </w:pPr>
          </w:p>
        </w:tc>
        <w:tc>
          <w:tcPr>
            <w:tcW w:w="929" w:type="dxa"/>
            <w:vMerge w:val="continue"/>
            <w:vAlign w:val="center"/>
          </w:tcPr>
          <w:p w14:paraId="531E6987">
            <w:pPr>
              <w:adjustRightInd w:val="0"/>
              <w:snapToGrid w:val="0"/>
              <w:spacing w:line="300" w:lineRule="exact"/>
              <w:jc w:val="center"/>
              <w:rPr>
                <w:rFonts w:ascii="Times New Roman" w:hAnsi="Times New Roman" w:eastAsia="宋体" w:cs="Times New Roman"/>
                <w:kern w:val="0"/>
                <w:szCs w:val="21"/>
              </w:rPr>
            </w:pPr>
          </w:p>
        </w:tc>
      </w:tr>
      <w:tr w14:paraId="37256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504" w:type="dxa"/>
            <w:vMerge w:val="restart"/>
            <w:vAlign w:val="center"/>
          </w:tcPr>
          <w:p w14:paraId="56C653EE">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2094" w:type="dxa"/>
            <w:vMerge w:val="restart"/>
            <w:vAlign w:val="center"/>
          </w:tcPr>
          <w:p w14:paraId="7572728C">
            <w:pPr>
              <w:adjustRightInd w:val="0"/>
              <w:snapToGrid w:val="0"/>
              <w:spacing w:line="30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3：</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技法解析与实践</w:t>
            </w:r>
          </w:p>
        </w:tc>
        <w:tc>
          <w:tcPr>
            <w:tcW w:w="1054" w:type="dxa"/>
            <w:vMerge w:val="restart"/>
            <w:vAlign w:val="center"/>
          </w:tcPr>
          <w:p w14:paraId="5EAD7693">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14:paraId="3A7B6C3B">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尝试套色木刻</w:t>
            </w:r>
            <w:r>
              <w:rPr>
                <w:rFonts w:hint="eastAsia" w:ascii="Times New Roman" w:hAnsi="Times New Roman" w:eastAsia="宋体" w:cs="Times New Roman"/>
                <w:kern w:val="0"/>
                <w:szCs w:val="21"/>
              </w:rPr>
              <w:t>基本技法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开展技法</w:t>
            </w:r>
            <w:r>
              <w:rPr>
                <w:rFonts w:hint="eastAsia" w:ascii="Times New Roman" w:hAnsi="Times New Roman" w:eastAsia="宋体" w:cs="Times New Roman"/>
                <w:kern w:val="0"/>
                <w:szCs w:val="21"/>
              </w:rPr>
              <w:t>实践训练，掌握</w:t>
            </w:r>
            <w:r>
              <w:rPr>
                <w:rFonts w:hint="eastAsia" w:ascii="Times New Roman" w:hAnsi="Times New Roman" w:eastAsia="宋体" w:cs="Times New Roman"/>
                <w:kern w:val="0"/>
                <w:szCs w:val="21"/>
                <w:lang w:val="en-US" w:eastAsia="zh-CN"/>
              </w:rPr>
              <w:t>套色木刻创作</w:t>
            </w:r>
            <w:r>
              <w:rPr>
                <w:rFonts w:hint="eastAsia" w:ascii="Times New Roman" w:hAnsi="Times New Roman" w:eastAsia="宋体" w:cs="Times New Roman"/>
                <w:kern w:val="0"/>
                <w:szCs w:val="21"/>
              </w:rPr>
              <w:t>方法。</w:t>
            </w:r>
          </w:p>
        </w:tc>
        <w:tc>
          <w:tcPr>
            <w:tcW w:w="690" w:type="dxa"/>
            <w:vMerge w:val="restart"/>
            <w:vAlign w:val="center"/>
          </w:tcPr>
          <w:p w14:paraId="0AA572EE">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0</w:t>
            </w:r>
          </w:p>
        </w:tc>
        <w:tc>
          <w:tcPr>
            <w:tcW w:w="848" w:type="dxa"/>
            <w:vMerge w:val="restart"/>
            <w:vAlign w:val="center"/>
          </w:tcPr>
          <w:p w14:paraId="12638D4F">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14:paraId="35C6D5A2">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14:paraId="7E5F85C4">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14:paraId="257A7A16">
            <w:pPr>
              <w:pStyle w:val="25"/>
              <w:kinsoku w:val="0"/>
              <w:overflowPunct w:val="0"/>
              <w:spacing w:line="240" w:lineRule="exact"/>
              <w:rPr>
                <w:rFonts w:ascii="Times New Roman" w:cs="Times New Roman"/>
                <w:sz w:val="21"/>
                <w:szCs w:val="21"/>
              </w:rPr>
            </w:pPr>
            <w:r>
              <w:rPr>
                <w:rFonts w:hint="eastAsia" w:ascii="Times New Roman" w:cs="Times New Roman"/>
                <w:sz w:val="21"/>
                <w:szCs w:val="21"/>
                <w:lang w:val="en-US" w:eastAsia="zh-CN"/>
              </w:rPr>
              <w:t>实践指导、写生</w:t>
            </w:r>
            <w:r>
              <w:rPr>
                <w:rFonts w:ascii="Times New Roman" w:cs="Times New Roman"/>
                <w:sz w:val="21"/>
                <w:szCs w:val="21"/>
              </w:rPr>
              <w:t>示范</w:t>
            </w:r>
            <w:r>
              <w:rPr>
                <w:rFonts w:hint="eastAsia" w:ascii="Times New Roman" w:cs="Times New Roman"/>
                <w:sz w:val="21"/>
                <w:szCs w:val="21"/>
                <w:lang w:eastAsia="zh-CN"/>
              </w:rPr>
              <w:t>、</w:t>
            </w:r>
            <w:r>
              <w:rPr>
                <w:rFonts w:hint="eastAsia" w:ascii="Times New Roman" w:cs="Times New Roman"/>
                <w:sz w:val="21"/>
                <w:szCs w:val="21"/>
              </w:rPr>
              <w:t>案例教学</w:t>
            </w:r>
            <w:r>
              <w:rPr>
                <w:rFonts w:hint="eastAsia" w:ascii="Times New Roman" w:cs="Times New Roman"/>
                <w:sz w:val="21"/>
                <w:szCs w:val="21"/>
                <w:lang w:eastAsia="zh-CN"/>
              </w:rPr>
              <w:t>，</w:t>
            </w:r>
            <w:r>
              <w:rPr>
                <w:rFonts w:hint="eastAsia" w:ascii="Times New Roman" w:cs="Times New Roman"/>
                <w:sz w:val="21"/>
                <w:szCs w:val="21"/>
                <w:lang w:val="en-US" w:eastAsia="zh-CN"/>
              </w:rPr>
              <w:t>个别指导。</w:t>
            </w:r>
          </w:p>
        </w:tc>
        <w:tc>
          <w:tcPr>
            <w:tcW w:w="929" w:type="dxa"/>
            <w:vMerge w:val="restart"/>
            <w:vAlign w:val="center"/>
          </w:tcPr>
          <w:p w14:paraId="550D613A">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p>
        </w:tc>
      </w:tr>
      <w:tr w14:paraId="5815A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04" w:type="dxa"/>
            <w:vMerge w:val="continue"/>
            <w:vAlign w:val="center"/>
          </w:tcPr>
          <w:p w14:paraId="6C3B0B2B">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14:paraId="78CECF76">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14:paraId="1316E91F">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bottom w:val="single" w:color="auto" w:sz="4" w:space="0"/>
            </w:tcBorders>
            <w:vAlign w:val="center"/>
          </w:tcPr>
          <w:p w14:paraId="6EB6D55E">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w:t>
            </w:r>
            <w:r>
              <w:rPr>
                <w:rFonts w:hint="eastAsia" w:ascii="Times New Roman" w:hAnsi="Times New Roman" w:eastAsia="宋体" w:cs="Times New Roman"/>
                <w:kern w:val="0"/>
                <w:szCs w:val="21"/>
                <w:lang w:val="en-US" w:eastAsia="zh-CN"/>
              </w:rPr>
              <w:t>认识和</w:t>
            </w:r>
            <w:r>
              <w:rPr>
                <w:rFonts w:hint="eastAsia" w:ascii="Times New Roman" w:hAnsi="Times New Roman" w:eastAsia="宋体" w:cs="Times New Roman"/>
                <w:kern w:val="0"/>
                <w:szCs w:val="21"/>
              </w:rPr>
              <w:t>掌握</w:t>
            </w:r>
            <w:r>
              <w:rPr>
                <w:rFonts w:hint="eastAsia" w:ascii="Times New Roman" w:hAnsi="Times New Roman" w:eastAsia="宋体" w:cs="Times New Roman"/>
                <w:kern w:val="0"/>
                <w:szCs w:val="21"/>
                <w:lang w:val="en-US" w:eastAsia="zh-CN"/>
              </w:rPr>
              <w:t>套色木刻素材收集</w:t>
            </w:r>
            <w:r>
              <w:rPr>
                <w:rFonts w:hint="eastAsia" w:ascii="Times New Roman" w:hAnsi="Times New Roman" w:eastAsia="宋体" w:cs="Times New Roman"/>
                <w:kern w:val="0"/>
                <w:szCs w:val="21"/>
              </w:rPr>
              <w:t>和处理方法。</w:t>
            </w:r>
          </w:p>
        </w:tc>
        <w:tc>
          <w:tcPr>
            <w:tcW w:w="690" w:type="dxa"/>
            <w:vMerge w:val="continue"/>
            <w:vAlign w:val="center"/>
          </w:tcPr>
          <w:p w14:paraId="15364F82">
            <w:pPr>
              <w:spacing w:line="300" w:lineRule="exact"/>
              <w:jc w:val="center"/>
              <w:rPr>
                <w:rFonts w:ascii="Times New Roman" w:hAnsi="Times New Roman" w:eastAsia="宋体" w:cs="Times New Roman"/>
                <w:kern w:val="0"/>
                <w:szCs w:val="21"/>
              </w:rPr>
            </w:pPr>
          </w:p>
        </w:tc>
        <w:tc>
          <w:tcPr>
            <w:tcW w:w="848" w:type="dxa"/>
            <w:vMerge w:val="continue"/>
            <w:vAlign w:val="center"/>
          </w:tcPr>
          <w:p w14:paraId="23C95C5A">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14:paraId="459FB449">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14:paraId="46EF8EEE">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14:paraId="42D4C6B0">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14:paraId="701C9A62">
            <w:pPr>
              <w:adjustRightInd w:val="0"/>
              <w:snapToGrid w:val="0"/>
              <w:spacing w:line="300" w:lineRule="exact"/>
              <w:jc w:val="center"/>
              <w:rPr>
                <w:rFonts w:ascii="Times New Roman" w:hAnsi="Times New Roman" w:eastAsia="宋体" w:cs="Times New Roman"/>
                <w:kern w:val="0"/>
                <w:szCs w:val="21"/>
              </w:rPr>
            </w:pPr>
          </w:p>
        </w:tc>
      </w:tr>
      <w:tr w14:paraId="5D940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504" w:type="dxa"/>
            <w:vMerge w:val="continue"/>
            <w:vAlign w:val="center"/>
          </w:tcPr>
          <w:p w14:paraId="141BADEC">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14:paraId="12B04E61">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14:paraId="7E9C6B76">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tcBorders>
            <w:vAlign w:val="center"/>
          </w:tcPr>
          <w:p w14:paraId="486F00A4">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对套色木刻风格</w:t>
            </w:r>
            <w:r>
              <w:rPr>
                <w:rFonts w:hint="eastAsia" w:ascii="Times New Roman" w:hAnsi="Times New Roman" w:eastAsia="宋体" w:cs="Times New Roman"/>
                <w:kern w:val="0"/>
                <w:szCs w:val="21"/>
              </w:rPr>
              <w:t>的审美、</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材料的物质特性。</w:t>
            </w:r>
          </w:p>
        </w:tc>
        <w:tc>
          <w:tcPr>
            <w:tcW w:w="690" w:type="dxa"/>
            <w:vMerge w:val="continue"/>
            <w:vAlign w:val="center"/>
          </w:tcPr>
          <w:p w14:paraId="5A034F45">
            <w:pPr>
              <w:spacing w:line="300" w:lineRule="exact"/>
              <w:jc w:val="center"/>
              <w:rPr>
                <w:rFonts w:ascii="Times New Roman" w:hAnsi="Times New Roman" w:eastAsia="宋体" w:cs="Times New Roman"/>
                <w:kern w:val="0"/>
                <w:szCs w:val="21"/>
              </w:rPr>
            </w:pPr>
          </w:p>
        </w:tc>
        <w:tc>
          <w:tcPr>
            <w:tcW w:w="848" w:type="dxa"/>
            <w:vMerge w:val="continue"/>
            <w:vAlign w:val="center"/>
          </w:tcPr>
          <w:p w14:paraId="62F0AF98">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14:paraId="2359AADD">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14:paraId="54DCD285">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14:paraId="4E101D23">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14:paraId="34809ECC">
            <w:pPr>
              <w:adjustRightInd w:val="0"/>
              <w:snapToGrid w:val="0"/>
              <w:spacing w:line="300" w:lineRule="exact"/>
              <w:jc w:val="center"/>
              <w:rPr>
                <w:rFonts w:ascii="Times New Roman" w:hAnsi="Times New Roman" w:eastAsia="宋体" w:cs="Times New Roman"/>
                <w:kern w:val="0"/>
                <w:szCs w:val="21"/>
              </w:rPr>
            </w:pPr>
          </w:p>
        </w:tc>
      </w:tr>
      <w:tr w14:paraId="235BA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504" w:type="dxa"/>
            <w:vMerge w:val="restart"/>
            <w:vAlign w:val="center"/>
          </w:tcPr>
          <w:p w14:paraId="4C75E78C">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4</w:t>
            </w:r>
          </w:p>
        </w:tc>
        <w:tc>
          <w:tcPr>
            <w:tcW w:w="2094" w:type="dxa"/>
            <w:vMerge w:val="restart"/>
            <w:vAlign w:val="center"/>
          </w:tcPr>
          <w:p w14:paraId="4BB4E4E7">
            <w:pPr>
              <w:adjustRightInd w:val="0"/>
              <w:snapToGrid w:val="0"/>
              <w:spacing w:line="300" w:lineRule="exact"/>
              <w:jc w:val="left"/>
              <w:rPr>
                <w:rFonts w:hint="eastAsia" w:ascii="Times New Roman" w:hAnsi="Times New Roman" w:eastAsia="宋体" w:cs="Times New Roman"/>
                <w:kern w:val="0"/>
                <w:szCs w:val="21"/>
                <w:lang w:eastAsia="zh-CN"/>
              </w:rPr>
            </w:pPr>
            <w:r>
              <w:rPr>
                <w:rFonts w:hint="eastAsia" w:ascii="Times New Roman" w:hAnsi="Times New Roman" w:eastAsia="宋体" w:cs="Times New Roman"/>
                <w:kern w:val="0"/>
                <w:szCs w:val="21"/>
                <w:lang w:val="en-US" w:eastAsia="zh-CN"/>
              </w:rPr>
              <w:t>模块4</w:t>
            </w:r>
            <w:r>
              <w:rPr>
                <w:rFonts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套色木刻印刷</w:t>
            </w:r>
          </w:p>
        </w:tc>
        <w:tc>
          <w:tcPr>
            <w:tcW w:w="1054" w:type="dxa"/>
            <w:vMerge w:val="restart"/>
            <w:vAlign w:val="center"/>
          </w:tcPr>
          <w:p w14:paraId="12199ADB">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tcBorders>
              <w:bottom w:val="single" w:color="auto" w:sz="4" w:space="0"/>
            </w:tcBorders>
            <w:vAlign w:val="center"/>
          </w:tcPr>
          <w:p w14:paraId="679BA0DC">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学生参与</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的形式审美实践，</w:t>
            </w:r>
            <w:r>
              <w:rPr>
                <w:rFonts w:hint="eastAsia" w:ascii="Times New Roman" w:hAnsi="Times New Roman" w:eastAsia="宋体" w:cs="Times New Roman"/>
                <w:kern w:val="0"/>
                <w:szCs w:val="21"/>
                <w:lang w:val="en-US" w:eastAsia="zh-CN"/>
              </w:rPr>
              <w:t>探索</w:t>
            </w:r>
            <w:r>
              <w:rPr>
                <w:rFonts w:hint="eastAsia" w:ascii="Times New Roman" w:hAnsi="宋体" w:eastAsia="宋体" w:cs="Times New Roman"/>
              </w:rPr>
              <w:t>立体与平面审美方法</w:t>
            </w:r>
            <w:r>
              <w:rPr>
                <w:rFonts w:hint="eastAsia" w:ascii="Times New Roman" w:hAnsi="宋体" w:eastAsia="宋体" w:cs="Times New Roman"/>
                <w:lang w:eastAsia="zh-CN"/>
              </w:rPr>
              <w:t>，</w:t>
            </w:r>
            <w:r>
              <w:rPr>
                <w:rFonts w:hint="eastAsia" w:ascii="Times New Roman" w:hAnsi="Times New Roman" w:eastAsia="宋体" w:cs="Times New Roman"/>
                <w:kern w:val="0"/>
                <w:szCs w:val="21"/>
              </w:rPr>
              <w:t>掌握一定的</w:t>
            </w:r>
            <w:r>
              <w:rPr>
                <w:rFonts w:hint="eastAsia" w:ascii="Times New Roman" w:hAnsi="Times New Roman" w:eastAsia="宋体" w:cs="Times New Roman"/>
                <w:kern w:val="0"/>
                <w:szCs w:val="21"/>
                <w:lang w:val="en-US" w:eastAsia="zh-CN"/>
              </w:rPr>
              <w:t>版画创作</w:t>
            </w:r>
            <w:r>
              <w:rPr>
                <w:rFonts w:hint="eastAsia" w:ascii="Times New Roman" w:hAnsi="Times New Roman" w:eastAsia="宋体" w:cs="Times New Roman"/>
                <w:kern w:val="0"/>
                <w:szCs w:val="21"/>
              </w:rPr>
              <w:t>方法。</w:t>
            </w:r>
          </w:p>
        </w:tc>
        <w:tc>
          <w:tcPr>
            <w:tcW w:w="690" w:type="dxa"/>
            <w:vMerge w:val="restart"/>
            <w:vAlign w:val="center"/>
          </w:tcPr>
          <w:p w14:paraId="22C8D4B6">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4</w:t>
            </w:r>
          </w:p>
        </w:tc>
        <w:tc>
          <w:tcPr>
            <w:tcW w:w="848" w:type="dxa"/>
            <w:vMerge w:val="restart"/>
            <w:vAlign w:val="center"/>
          </w:tcPr>
          <w:p w14:paraId="386AC5CE">
            <w:pPr>
              <w:adjustRightInd w:val="0"/>
              <w:snapToGrid w:val="0"/>
              <w:spacing w:line="300" w:lineRule="exact"/>
              <w:jc w:val="center"/>
              <w:rPr>
                <w:rFonts w:hint="eastAsia" w:ascii="Times New Roman" w:hAnsi="Times New Roman" w:eastAsia="宋体" w:cs="Times New Roman"/>
                <w:color w:val="auto"/>
                <w:kern w:val="0"/>
                <w:szCs w:val="21"/>
                <w:lang w:eastAsia="zh-CN"/>
              </w:rPr>
            </w:pPr>
            <w:r>
              <w:rPr>
                <w:rFonts w:ascii="Times New Roman" w:hAnsi="Times New Roman" w:eastAsia="宋体" w:cs="Times New Roman"/>
                <w:color w:val="auto"/>
                <w:kern w:val="0"/>
                <w:szCs w:val="21"/>
              </w:rPr>
              <w:t>综合性</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设计研究</w:t>
            </w:r>
          </w:p>
        </w:tc>
        <w:tc>
          <w:tcPr>
            <w:tcW w:w="690" w:type="dxa"/>
            <w:vMerge w:val="restart"/>
            <w:vAlign w:val="center"/>
          </w:tcPr>
          <w:p w14:paraId="3FF23CDA">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必做</w:t>
            </w:r>
          </w:p>
        </w:tc>
        <w:tc>
          <w:tcPr>
            <w:tcW w:w="496" w:type="dxa"/>
            <w:vMerge w:val="restart"/>
            <w:vAlign w:val="center"/>
          </w:tcPr>
          <w:p w14:paraId="0AA1CEE2">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7</w:t>
            </w:r>
          </w:p>
        </w:tc>
        <w:tc>
          <w:tcPr>
            <w:tcW w:w="1088" w:type="dxa"/>
            <w:vMerge w:val="restart"/>
            <w:vAlign w:val="center"/>
          </w:tcPr>
          <w:p w14:paraId="4C4D501B">
            <w:pPr>
              <w:adjustRightInd w:val="0"/>
              <w:snapToGrid w:val="0"/>
              <w:spacing w:line="24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课堂讲授</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案例教学</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小组讨论</w:t>
            </w:r>
          </w:p>
        </w:tc>
        <w:tc>
          <w:tcPr>
            <w:tcW w:w="929" w:type="dxa"/>
            <w:vMerge w:val="restart"/>
            <w:vAlign w:val="center"/>
          </w:tcPr>
          <w:p w14:paraId="2180F205">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4</w:t>
            </w:r>
          </w:p>
        </w:tc>
      </w:tr>
      <w:tr w14:paraId="16C6C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504" w:type="dxa"/>
            <w:vMerge w:val="continue"/>
            <w:vAlign w:val="center"/>
          </w:tcPr>
          <w:p w14:paraId="2A2813DA">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14:paraId="4F8C9D2A">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14:paraId="6E296F7A">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bottom w:val="single" w:color="auto" w:sz="4" w:space="0"/>
            </w:tcBorders>
            <w:vAlign w:val="center"/>
          </w:tcPr>
          <w:p w14:paraId="5FEAE9F1">
            <w:pPr>
              <w:spacing w:line="300" w:lineRule="exact"/>
              <w:jc w:val="left"/>
              <w:rPr>
                <w:rFonts w:ascii="Times New Roman" w:hAnsi="宋体" w:eastAsia="宋体" w:cs="Times New Roman"/>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夯实</w:t>
            </w:r>
            <w:r>
              <w:rPr>
                <w:rFonts w:hint="eastAsia" w:ascii="Times New Roman" w:hAnsi="宋体" w:eastAsia="宋体" w:cs="Times New Roman"/>
                <w:lang w:val="en-US" w:eastAsia="zh-CN"/>
              </w:rPr>
              <w:t>套色木刻</w:t>
            </w:r>
            <w:r>
              <w:rPr>
                <w:rFonts w:hint="eastAsia" w:ascii="Times New Roman" w:hAnsi="宋体" w:eastAsia="宋体" w:cs="Times New Roman"/>
              </w:rPr>
              <w:t>造型</w:t>
            </w:r>
            <w:r>
              <w:rPr>
                <w:rFonts w:hint="eastAsia" w:ascii="Times New Roman" w:hAnsi="宋体" w:eastAsia="宋体" w:cs="Times New Roman"/>
                <w:lang w:val="en-US" w:eastAsia="zh-CN"/>
              </w:rPr>
              <w:t>基础，</w:t>
            </w:r>
            <w:r>
              <w:rPr>
                <w:rFonts w:hint="eastAsia" w:ascii="Times New Roman" w:hAnsi="宋体" w:eastAsia="宋体" w:cs="Times New Roman"/>
              </w:rPr>
              <w:t>探索</w:t>
            </w:r>
            <w:r>
              <w:rPr>
                <w:rFonts w:hint="eastAsia" w:ascii="Times New Roman" w:hAnsi="宋体" w:eastAsia="宋体" w:cs="Times New Roman"/>
                <w:lang w:val="en-US" w:eastAsia="zh-CN"/>
              </w:rPr>
              <w:t>表现的</w:t>
            </w:r>
            <w:r>
              <w:rPr>
                <w:rFonts w:hint="eastAsia" w:ascii="Times New Roman" w:hAnsi="宋体" w:eastAsia="宋体" w:cs="Times New Roman"/>
              </w:rPr>
              <w:t>可能性，结合</w:t>
            </w:r>
            <w:r>
              <w:rPr>
                <w:rFonts w:hint="eastAsia" w:ascii="Times New Roman" w:hAnsi="宋体" w:eastAsia="宋体" w:cs="Times New Roman"/>
                <w:lang w:val="en-US" w:eastAsia="zh-CN"/>
              </w:rPr>
              <w:t>优秀</w:t>
            </w:r>
            <w:r>
              <w:rPr>
                <w:rFonts w:hint="eastAsia" w:ascii="Times" w:hAnsi="Times" w:eastAsia="宋体" w:cs="Times"/>
                <w:szCs w:val="21"/>
              </w:rPr>
              <w:t>作品的审美赏析，锻炼</w:t>
            </w:r>
            <w:r>
              <w:rPr>
                <w:rFonts w:hint="eastAsia" w:ascii="Times New Roman" w:hAnsi="Times New Roman" w:eastAsia="宋体" w:cs="Times New Roman"/>
                <w:szCs w:val="21"/>
              </w:rPr>
              <w:t>良好的沟通、表达能力</w:t>
            </w:r>
            <w:r>
              <w:rPr>
                <w:rFonts w:hint="eastAsia" w:ascii="Times" w:hAnsi="Times" w:eastAsia="宋体" w:cs="Times"/>
                <w:szCs w:val="21"/>
              </w:rPr>
              <w:t>。</w:t>
            </w:r>
          </w:p>
        </w:tc>
        <w:tc>
          <w:tcPr>
            <w:tcW w:w="690" w:type="dxa"/>
            <w:vMerge w:val="continue"/>
            <w:vAlign w:val="center"/>
          </w:tcPr>
          <w:p w14:paraId="0D729B29">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14:paraId="7AE513E4">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14:paraId="1870D2B2">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14:paraId="0A121B25">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14:paraId="11752241">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14:paraId="3705590C">
            <w:pPr>
              <w:spacing w:line="300" w:lineRule="exact"/>
              <w:jc w:val="center"/>
              <w:rPr>
                <w:rFonts w:ascii="Times New Roman" w:hAnsi="Times New Roman" w:eastAsia="宋体" w:cs="Times New Roman"/>
                <w:b/>
                <w:kern w:val="0"/>
                <w:sz w:val="20"/>
                <w:szCs w:val="21"/>
              </w:rPr>
            </w:pPr>
          </w:p>
        </w:tc>
      </w:tr>
      <w:tr w14:paraId="1F6EA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504" w:type="dxa"/>
            <w:vMerge w:val="continue"/>
            <w:vAlign w:val="center"/>
          </w:tcPr>
          <w:p w14:paraId="673E7A73">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14:paraId="040FFDE9">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14:paraId="699C32CF">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tcBorders>
            <w:vAlign w:val="center"/>
          </w:tcPr>
          <w:p w14:paraId="14E87F3F">
            <w:pPr>
              <w:spacing w:line="300" w:lineRule="exact"/>
              <w:jc w:val="left"/>
              <w:rPr>
                <w:rFonts w:hint="default" w:ascii="Times New Roman" w:hAnsi="宋体" w:eastAsia="宋体" w:cs="Times New Roman"/>
                <w:lang w:val="en-US" w:eastAsia="zh-CN"/>
              </w:rPr>
            </w:pPr>
            <w:r>
              <w:rPr>
                <w:rFonts w:ascii="Times New Roman" w:hAnsi="宋体" w:eastAsia="宋体" w:cs="Times New Roman"/>
              </w:rPr>
              <w:t xml:space="preserve">3. </w:t>
            </w:r>
            <w:r>
              <w:rPr>
                <w:rFonts w:hint="eastAsia" w:ascii="Times New Roman" w:hAnsi="宋体" w:eastAsia="宋体" w:cs="Times New Roman"/>
                <w:lang w:val="en-US" w:eastAsia="zh-CN"/>
              </w:rPr>
              <w:t>开展小组讨论，建立合作协调能力。</w:t>
            </w:r>
          </w:p>
        </w:tc>
        <w:tc>
          <w:tcPr>
            <w:tcW w:w="690" w:type="dxa"/>
            <w:vMerge w:val="continue"/>
            <w:vAlign w:val="center"/>
          </w:tcPr>
          <w:p w14:paraId="13D2D8F4">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14:paraId="42AA9F5F">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14:paraId="030D2467">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14:paraId="7068E539">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14:paraId="5FC3FBAB">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14:paraId="359BEB1C">
            <w:pPr>
              <w:spacing w:line="300" w:lineRule="exact"/>
              <w:jc w:val="center"/>
              <w:rPr>
                <w:rFonts w:ascii="Times New Roman" w:hAnsi="Times New Roman" w:eastAsia="宋体" w:cs="Times New Roman"/>
                <w:b/>
                <w:kern w:val="0"/>
                <w:sz w:val="20"/>
                <w:szCs w:val="21"/>
              </w:rPr>
            </w:pPr>
          </w:p>
        </w:tc>
      </w:tr>
    </w:tbl>
    <w:p w14:paraId="0D3995DE">
      <w:pPr>
        <w:widowControl/>
        <w:spacing w:line="360" w:lineRule="auto"/>
        <w:jc w:val="left"/>
        <w:rPr>
          <w:rFonts w:ascii="Times New Roman" w:hAnsi="Times New Roman" w:cs="Times New Roman"/>
        </w:rPr>
      </w:pPr>
    </w:p>
    <w:p w14:paraId="563CF9D7">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14:paraId="57A43168">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14:paraId="6CF57417">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14:paraId="14FC6FE7">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1"/>
        <w:tblW w:w="4996" w:type="pct"/>
        <w:tblInd w:w="0" w:type="dxa"/>
        <w:tblLayout w:type="fixed"/>
        <w:tblCellMar>
          <w:top w:w="0" w:type="dxa"/>
          <w:left w:w="108" w:type="dxa"/>
          <w:bottom w:w="0" w:type="dxa"/>
          <w:right w:w="108" w:type="dxa"/>
        </w:tblCellMar>
      </w:tblPr>
      <w:tblGrid>
        <w:gridCol w:w="1073"/>
        <w:gridCol w:w="3912"/>
        <w:gridCol w:w="1707"/>
        <w:gridCol w:w="1012"/>
        <w:gridCol w:w="1577"/>
      </w:tblGrid>
      <w:tr w14:paraId="0FB7CC6C">
        <w:tblPrEx>
          <w:tblCellMar>
            <w:top w:w="0" w:type="dxa"/>
            <w:left w:w="108" w:type="dxa"/>
            <w:bottom w:w="0" w:type="dxa"/>
            <w:right w:w="108" w:type="dxa"/>
          </w:tblCellMar>
        </w:tblPrEx>
        <w:trPr>
          <w:trHeight w:val="623" w:hRule="atLeast"/>
        </w:trPr>
        <w:tc>
          <w:tcPr>
            <w:tcW w:w="578" w:type="pct"/>
            <w:tcBorders>
              <w:top w:val="single" w:color="000000" w:sz="4" w:space="0"/>
              <w:left w:val="single" w:color="000000" w:sz="4" w:space="0"/>
              <w:bottom w:val="single" w:color="000000" w:sz="4" w:space="0"/>
              <w:right w:val="single" w:color="000000" w:sz="4" w:space="0"/>
              <w:tl2br w:val="nil"/>
              <w:tr2bl w:val="nil"/>
            </w:tcBorders>
            <w:vAlign w:val="center"/>
          </w:tcPr>
          <w:p w14:paraId="24CD386B">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课程目标</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14:paraId="7DF03CFB">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考核内容</w:t>
            </w:r>
          </w:p>
        </w:tc>
        <w:tc>
          <w:tcPr>
            <w:tcW w:w="919" w:type="pct"/>
            <w:tcBorders>
              <w:top w:val="single" w:color="000000" w:sz="4" w:space="0"/>
              <w:left w:val="single" w:color="000000" w:sz="4" w:space="0"/>
              <w:bottom w:val="single" w:color="000000" w:sz="4" w:space="0"/>
              <w:right w:val="single" w:color="000000" w:sz="4" w:space="0"/>
              <w:tl2br w:val="nil"/>
              <w:tr2bl w:val="nil"/>
            </w:tcBorders>
            <w:vAlign w:val="center"/>
          </w:tcPr>
          <w:p w14:paraId="79A5B658">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所属</w:t>
            </w:r>
          </w:p>
          <w:p w14:paraId="441FC4FB">
            <w:pPr>
              <w:pStyle w:val="25"/>
              <w:keepNext w:val="0"/>
              <w:keepLines w:val="0"/>
              <w:pageBreakBefore w:val="0"/>
              <w:widowControl w:val="0"/>
              <w:kinsoku w:val="0"/>
              <w:wordWrap/>
              <w:overflowPunct w:val="0"/>
              <w:topLinePunct w:val="0"/>
              <w:autoSpaceDE w:val="0"/>
              <w:autoSpaceDN w:val="0"/>
              <w:bidi w:val="0"/>
              <w:adjustRightInd w:val="0"/>
              <w:snapToGrid/>
              <w:spacing w:line="277" w:lineRule="exact"/>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学习项目</w:t>
            </w:r>
          </w:p>
        </w:tc>
        <w:tc>
          <w:tcPr>
            <w:tcW w:w="545" w:type="pct"/>
            <w:tcBorders>
              <w:top w:val="single" w:color="000000" w:sz="4" w:space="0"/>
              <w:left w:val="single" w:color="000000" w:sz="4" w:space="0"/>
              <w:bottom w:val="single" w:color="000000" w:sz="4" w:space="0"/>
              <w:right w:val="single" w:color="000000" w:sz="4" w:space="0"/>
              <w:tl2br w:val="nil"/>
              <w:tr2bl w:val="nil"/>
            </w:tcBorders>
            <w:vAlign w:val="center"/>
          </w:tcPr>
          <w:p w14:paraId="55F6ACF5">
            <w:pPr>
              <w:pStyle w:val="25"/>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考核占比</w:t>
            </w:r>
          </w:p>
        </w:tc>
        <w:tc>
          <w:tcPr>
            <w:tcW w:w="849" w:type="pct"/>
            <w:tcBorders>
              <w:top w:val="single" w:color="000000" w:sz="4" w:space="0"/>
              <w:left w:val="single" w:color="000000" w:sz="4" w:space="0"/>
              <w:bottom w:val="single" w:color="000000" w:sz="4" w:space="0"/>
              <w:right w:val="single" w:color="000000" w:sz="4" w:space="0"/>
              <w:tl2br w:val="nil"/>
              <w:tr2bl w:val="nil"/>
            </w:tcBorders>
            <w:vAlign w:val="center"/>
          </w:tcPr>
          <w:p w14:paraId="5A4AB06C">
            <w:pPr>
              <w:pStyle w:val="25"/>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考核方式</w:t>
            </w:r>
          </w:p>
        </w:tc>
      </w:tr>
      <w:tr w14:paraId="0513F9DC">
        <w:tblPrEx>
          <w:tblCellMar>
            <w:top w:w="0" w:type="dxa"/>
            <w:left w:w="108" w:type="dxa"/>
            <w:bottom w:w="0" w:type="dxa"/>
            <w:right w:w="108" w:type="dxa"/>
          </w:tblCellMar>
        </w:tblPrEx>
        <w:trPr>
          <w:trHeight w:val="312"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14:paraId="0C2DA4C3">
            <w:pPr>
              <w:pStyle w:val="25"/>
              <w:kinsoku w:val="0"/>
              <w:overflowPunct w:val="0"/>
              <w:spacing w:before="15"/>
              <w:rPr>
                <w:rFonts w:hint="default" w:ascii="方正小标宋_GBK" w:eastAsia="方正小标宋_GBK" w:cs="方正小标宋_GBK"/>
                <w:sz w:val="19"/>
                <w:szCs w:val="19"/>
              </w:rPr>
            </w:pPr>
          </w:p>
          <w:p w14:paraId="3CC0F0F5">
            <w:pPr>
              <w:pStyle w:val="25"/>
              <w:kinsoku w:val="0"/>
              <w:overflowPunct w:val="0"/>
              <w:spacing w:line="278" w:lineRule="auto"/>
              <w:ind w:left="242" w:right="98" w:hanging="132"/>
              <w:rPr>
                <w:rFonts w:hint="default"/>
                <w:sz w:val="21"/>
                <w:szCs w:val="21"/>
              </w:rPr>
            </w:pPr>
            <w:r>
              <w:rPr>
                <w:sz w:val="21"/>
                <w:szCs w:val="21"/>
              </w:rPr>
              <w:t>课程目标 1</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653E5A26">
            <w:pPr>
              <w:pStyle w:val="25"/>
              <w:kinsoku w:val="0"/>
              <w:overflowPunct w:val="0"/>
              <w:spacing w:before="22"/>
              <w:ind w:left="107" w:leftChars="0"/>
              <w:jc w:val="both"/>
              <w:rPr>
                <w:rFonts w:hint="default"/>
                <w:sz w:val="21"/>
                <w:szCs w:val="21"/>
              </w:rPr>
            </w:pPr>
            <w:r>
              <w:rPr>
                <w:rFonts w:hAnsi="宋体"/>
                <w:color w:val="auto"/>
                <w:sz w:val="21"/>
                <w:szCs w:val="21"/>
                <w:highlight w:val="none"/>
              </w:rPr>
              <w:t>1.套色木刻创作的概念与发展历史</w:t>
            </w:r>
          </w:p>
        </w:tc>
        <w:tc>
          <w:tcPr>
            <w:tcW w:w="919" w:type="pct"/>
            <w:vMerge w:val="restart"/>
            <w:tcBorders>
              <w:top w:val="single" w:color="000000" w:sz="4" w:space="0"/>
              <w:left w:val="single" w:color="000000" w:sz="4" w:space="0"/>
              <w:right w:val="single" w:color="000000" w:sz="4" w:space="0"/>
              <w:tl2br w:val="nil"/>
              <w:tr2bl w:val="nil"/>
            </w:tcBorders>
            <w:vAlign w:val="center"/>
          </w:tcPr>
          <w:p w14:paraId="04C5E58C">
            <w:pPr>
              <w:adjustRightInd w:val="0"/>
              <w:snapToGrid w:val="0"/>
              <w:spacing w:line="300" w:lineRule="exact"/>
              <w:jc w:val="left"/>
              <w:rPr>
                <w:rFonts w:hint="default" w:ascii="Times New Roman" w:cs="Times New Roman"/>
                <w:sz w:val="22"/>
                <w:szCs w:val="22"/>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1：</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基本概念、发展概况</w:t>
            </w:r>
          </w:p>
        </w:tc>
        <w:tc>
          <w:tcPr>
            <w:tcW w:w="545" w:type="pct"/>
            <w:vMerge w:val="restart"/>
            <w:tcBorders>
              <w:top w:val="single" w:color="000000" w:sz="4" w:space="0"/>
              <w:left w:val="single" w:color="000000" w:sz="4" w:space="0"/>
              <w:right w:val="single" w:color="000000" w:sz="4" w:space="0"/>
              <w:tl2br w:val="nil"/>
              <w:tr2bl w:val="nil"/>
            </w:tcBorders>
            <w:vAlign w:val="center"/>
          </w:tcPr>
          <w:p w14:paraId="7F270F63">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color w:val="000000"/>
                <w:sz w:val="21"/>
              </w:rPr>
              <w:t>15%</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3299EB4">
            <w:pPr>
              <w:adjustRightInd w:val="0"/>
              <w:snapToGrid w:val="0"/>
              <w:spacing w:line="300" w:lineRule="exact"/>
              <w:jc w:val="left"/>
              <w:rPr>
                <w:rFonts w:hint="default" w:ascii="Times New Roman" w:cs="Times New Roman" w:eastAsiaTheme="minorEastAsia"/>
                <w:sz w:val="22"/>
                <w:szCs w:val="22"/>
                <w:lang w:val="en-US" w:eastAsia="zh-CN"/>
              </w:rPr>
            </w:pPr>
            <w:r>
              <w:rPr>
                <w:rFonts w:ascii="Times New Roman"/>
                <w:color w:val="000000"/>
                <w:sz w:val="22"/>
              </w:rPr>
              <w:t>上课随堂讲解提问、学习态度考评</w:t>
            </w:r>
          </w:p>
        </w:tc>
      </w:tr>
      <w:tr w14:paraId="7322013C">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6E149CAB">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7A688F37">
            <w:pPr>
              <w:pStyle w:val="25"/>
              <w:kinsoku w:val="0"/>
              <w:overflowPunct w:val="0"/>
              <w:spacing w:before="22"/>
              <w:ind w:left="107" w:leftChars="0"/>
              <w:jc w:val="both"/>
              <w:rPr>
                <w:rFonts w:hint="default"/>
                <w:sz w:val="21"/>
                <w:szCs w:val="21"/>
              </w:rPr>
            </w:pPr>
            <w:r>
              <w:rPr>
                <w:rFonts w:hAnsi="宋体"/>
                <w:color w:val="auto"/>
                <w:sz w:val="21"/>
                <w:szCs w:val="21"/>
                <w:highlight w:val="none"/>
              </w:rPr>
              <w:t>2.套色木刻创作的表现语言与风格</w:t>
            </w:r>
          </w:p>
        </w:tc>
        <w:tc>
          <w:tcPr>
            <w:tcW w:w="919" w:type="pct"/>
            <w:vMerge w:val="continue"/>
            <w:tcBorders>
              <w:left w:val="single" w:color="000000" w:sz="4" w:space="0"/>
              <w:right w:val="single" w:color="000000" w:sz="4" w:space="0"/>
              <w:tl2br w:val="nil"/>
              <w:tr2bl w:val="nil"/>
            </w:tcBorders>
          </w:tcPr>
          <w:p w14:paraId="3B996481">
            <w:pPr>
              <w:pStyle w:val="25"/>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14:paraId="6285EB36">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7AC17BA6">
            <w:pPr>
              <w:autoSpaceDE w:val="0"/>
              <w:autoSpaceDN w:val="0"/>
              <w:adjustRightInd w:val="0"/>
              <w:jc w:val="center"/>
              <w:rPr>
                <w:rFonts w:ascii="Times New Roman" w:hAnsi="Times New Roman" w:eastAsia="宋体" w:cs="Times New Roman"/>
                <w:kern w:val="0"/>
                <w:sz w:val="2"/>
                <w:szCs w:val="2"/>
              </w:rPr>
            </w:pPr>
          </w:p>
        </w:tc>
      </w:tr>
      <w:tr w14:paraId="0A3F972E">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49A3B050">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61518356">
            <w:pPr>
              <w:pStyle w:val="25"/>
              <w:kinsoku w:val="0"/>
              <w:overflowPunct w:val="0"/>
              <w:spacing w:before="25"/>
              <w:ind w:left="107" w:leftChars="0"/>
              <w:jc w:val="both"/>
              <w:rPr>
                <w:rFonts w:hint="default"/>
                <w:sz w:val="21"/>
                <w:szCs w:val="21"/>
              </w:rPr>
            </w:pPr>
            <w:r>
              <w:rPr>
                <w:rFonts w:hAnsi="宋体"/>
                <w:color w:val="auto"/>
                <w:sz w:val="21"/>
                <w:szCs w:val="21"/>
                <w:highlight w:val="none"/>
              </w:rPr>
              <w:t>3.套色木刻创作的基本程序</w:t>
            </w:r>
          </w:p>
        </w:tc>
        <w:tc>
          <w:tcPr>
            <w:tcW w:w="919" w:type="pct"/>
            <w:vMerge w:val="continue"/>
            <w:tcBorders>
              <w:left w:val="single" w:color="000000" w:sz="4" w:space="0"/>
              <w:bottom w:val="single" w:color="000000" w:sz="4" w:space="0"/>
              <w:right w:val="single" w:color="000000" w:sz="4" w:space="0"/>
              <w:tl2br w:val="nil"/>
              <w:tr2bl w:val="nil"/>
            </w:tcBorders>
          </w:tcPr>
          <w:p w14:paraId="06DA5EB6">
            <w:pPr>
              <w:pStyle w:val="25"/>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14:paraId="5FD3DDF1">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4C5413CE">
            <w:pPr>
              <w:autoSpaceDE w:val="0"/>
              <w:autoSpaceDN w:val="0"/>
              <w:adjustRightInd w:val="0"/>
              <w:jc w:val="center"/>
              <w:rPr>
                <w:rFonts w:ascii="Times New Roman" w:hAnsi="Times New Roman" w:eastAsia="宋体" w:cs="Times New Roman"/>
                <w:kern w:val="0"/>
                <w:sz w:val="2"/>
                <w:szCs w:val="2"/>
              </w:rPr>
            </w:pPr>
          </w:p>
        </w:tc>
      </w:tr>
      <w:tr w14:paraId="0D4365AA">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14:paraId="175F0460">
            <w:pPr>
              <w:pStyle w:val="25"/>
              <w:kinsoku w:val="0"/>
              <w:overflowPunct w:val="0"/>
              <w:spacing w:before="12"/>
              <w:rPr>
                <w:rFonts w:hint="default" w:ascii="方正小标宋_GBK" w:eastAsia="方正小标宋_GBK" w:cs="方正小标宋_GBK"/>
                <w:sz w:val="19"/>
                <w:szCs w:val="19"/>
              </w:rPr>
            </w:pPr>
          </w:p>
          <w:p w14:paraId="44156538">
            <w:pPr>
              <w:pStyle w:val="25"/>
              <w:kinsoku w:val="0"/>
              <w:overflowPunct w:val="0"/>
              <w:spacing w:line="278" w:lineRule="auto"/>
              <w:ind w:left="242" w:right="98" w:hanging="132"/>
              <w:rPr>
                <w:rFonts w:hint="default"/>
                <w:sz w:val="21"/>
                <w:szCs w:val="21"/>
              </w:rPr>
            </w:pPr>
            <w:r>
              <w:rPr>
                <w:sz w:val="21"/>
                <w:szCs w:val="21"/>
              </w:rPr>
              <w:t>课程目标 2</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0315FE67">
            <w:pPr>
              <w:pStyle w:val="25"/>
              <w:kinsoku w:val="0"/>
              <w:overflowPunct w:val="0"/>
              <w:spacing w:before="22"/>
              <w:ind w:left="107" w:leftChars="0"/>
              <w:jc w:val="both"/>
              <w:rPr>
                <w:rFonts w:hint="default"/>
                <w:sz w:val="21"/>
                <w:szCs w:val="21"/>
              </w:rPr>
            </w:pPr>
            <w:r>
              <w:rPr>
                <w:rFonts w:hAnsi="宋体"/>
                <w:color w:val="auto"/>
                <w:sz w:val="21"/>
                <w:szCs w:val="21"/>
                <w:highlight w:val="none"/>
              </w:rPr>
              <w:t>1.创作思路与立意的确定</w:t>
            </w:r>
          </w:p>
        </w:tc>
        <w:tc>
          <w:tcPr>
            <w:tcW w:w="919" w:type="pct"/>
            <w:vMerge w:val="restart"/>
            <w:tcBorders>
              <w:top w:val="single" w:color="000000" w:sz="4" w:space="0"/>
              <w:left w:val="single" w:color="000000" w:sz="4" w:space="0"/>
              <w:right w:val="single" w:color="000000" w:sz="4" w:space="0"/>
              <w:tl2br w:val="nil"/>
              <w:tr2bl w:val="nil"/>
            </w:tcBorders>
            <w:vAlign w:val="center"/>
          </w:tcPr>
          <w:p w14:paraId="2789287B">
            <w:pPr>
              <w:adjustRightInd w:val="0"/>
              <w:snapToGrid w:val="0"/>
              <w:spacing w:line="300" w:lineRule="exact"/>
              <w:jc w:val="left"/>
              <w:rPr>
                <w:rFonts w:hint="default" w:ascii="Times New Roman" w:cs="Times New Roman"/>
                <w:sz w:val="22"/>
                <w:szCs w:val="22"/>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2：</w:t>
            </w:r>
            <w:r>
              <w:rPr>
                <w:rFonts w:hint="eastAsia" w:ascii="Times New Roman" w:hAnsi="Times New Roman" w:eastAsia="宋体" w:cs="Times New Roman"/>
                <w:kern w:val="0"/>
                <w:szCs w:val="21"/>
                <w:lang w:val="en-US" w:eastAsia="zh-CN"/>
              </w:rPr>
              <w:t>套色木刻临摹</w:t>
            </w:r>
            <w:r>
              <w:rPr>
                <w:rFonts w:hint="eastAsia" w:ascii="Times New Roman" w:hAnsi="Times New Roman" w:eastAsia="宋体" w:cs="Times New Roman"/>
                <w:kern w:val="0"/>
                <w:szCs w:val="21"/>
              </w:rPr>
              <w:t>实践</w:t>
            </w:r>
          </w:p>
        </w:tc>
        <w:tc>
          <w:tcPr>
            <w:tcW w:w="545" w:type="pct"/>
            <w:vMerge w:val="restart"/>
            <w:tcBorders>
              <w:top w:val="single" w:color="000000" w:sz="4" w:space="0"/>
              <w:left w:val="single" w:color="000000" w:sz="4" w:space="0"/>
              <w:right w:val="single" w:color="000000" w:sz="4" w:space="0"/>
              <w:tl2br w:val="nil"/>
              <w:tr2bl w:val="nil"/>
            </w:tcBorders>
            <w:vAlign w:val="center"/>
          </w:tcPr>
          <w:p w14:paraId="50BC2007">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color w:val="000000"/>
                <w:sz w:val="21"/>
              </w:rPr>
              <w:t>15%</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12B38E6D">
            <w:pPr>
              <w:adjustRightInd w:val="0"/>
              <w:snapToGrid w:val="0"/>
              <w:spacing w:line="300" w:lineRule="exact"/>
              <w:jc w:val="left"/>
              <w:rPr>
                <w:rFonts w:hint="default" w:ascii="Times New Roman" w:cs="Times New Roman" w:eastAsiaTheme="minorEastAsia"/>
                <w:sz w:val="22"/>
                <w:szCs w:val="22"/>
                <w:lang w:val="en-US" w:eastAsia="zh-CN"/>
              </w:rPr>
            </w:pPr>
            <w:r>
              <w:rPr>
                <w:rFonts w:ascii="Times New Roman"/>
                <w:color w:val="000000"/>
                <w:sz w:val="22"/>
              </w:rPr>
              <w:t>课堂讲解提问、练习作业质量、态度考评</w:t>
            </w:r>
          </w:p>
        </w:tc>
      </w:tr>
      <w:tr w14:paraId="572BC7D2">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75E0C7F8">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7B6D549D">
            <w:pPr>
              <w:pStyle w:val="25"/>
              <w:kinsoku w:val="0"/>
              <w:overflowPunct w:val="0"/>
              <w:spacing w:before="22"/>
              <w:ind w:left="107" w:leftChars="0"/>
              <w:jc w:val="both"/>
              <w:rPr>
                <w:rFonts w:hint="default"/>
                <w:sz w:val="21"/>
                <w:szCs w:val="21"/>
              </w:rPr>
            </w:pPr>
            <w:r>
              <w:rPr>
                <w:rFonts w:hAnsi="宋体"/>
                <w:color w:val="auto"/>
                <w:sz w:val="21"/>
                <w:szCs w:val="21"/>
                <w:highlight w:val="none"/>
              </w:rPr>
              <w:t>2.创作素材的获取与处理</w:t>
            </w:r>
          </w:p>
        </w:tc>
        <w:tc>
          <w:tcPr>
            <w:tcW w:w="919" w:type="pct"/>
            <w:vMerge w:val="continue"/>
            <w:tcBorders>
              <w:left w:val="single" w:color="000000" w:sz="4" w:space="0"/>
              <w:right w:val="single" w:color="000000" w:sz="4" w:space="0"/>
              <w:tl2br w:val="nil"/>
              <w:tr2bl w:val="nil"/>
            </w:tcBorders>
          </w:tcPr>
          <w:p w14:paraId="51C9A313">
            <w:pPr>
              <w:pStyle w:val="25"/>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14:paraId="77F9EAC2">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64ED9C8A">
            <w:pPr>
              <w:autoSpaceDE w:val="0"/>
              <w:autoSpaceDN w:val="0"/>
              <w:adjustRightInd w:val="0"/>
              <w:jc w:val="center"/>
              <w:rPr>
                <w:rFonts w:ascii="Times New Roman" w:hAnsi="Times New Roman" w:eastAsia="宋体" w:cs="Times New Roman"/>
                <w:kern w:val="0"/>
                <w:sz w:val="2"/>
                <w:szCs w:val="2"/>
              </w:rPr>
            </w:pPr>
          </w:p>
        </w:tc>
      </w:tr>
      <w:tr w14:paraId="7C079C8E">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10864DA7">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324EAA73">
            <w:pPr>
              <w:pStyle w:val="25"/>
              <w:kinsoku w:val="0"/>
              <w:overflowPunct w:val="0"/>
              <w:spacing w:before="23"/>
              <w:ind w:left="107" w:leftChars="0"/>
              <w:jc w:val="both"/>
              <w:rPr>
                <w:rFonts w:hint="default"/>
                <w:sz w:val="21"/>
                <w:szCs w:val="21"/>
              </w:rPr>
            </w:pPr>
            <w:r>
              <w:rPr>
                <w:rFonts w:hAnsi="宋体"/>
                <w:color w:val="auto"/>
                <w:sz w:val="21"/>
                <w:szCs w:val="21"/>
                <w:highlight w:val="none"/>
              </w:rPr>
              <w:t>3.创作初稿的形成</w:t>
            </w:r>
          </w:p>
        </w:tc>
        <w:tc>
          <w:tcPr>
            <w:tcW w:w="919" w:type="pct"/>
            <w:vMerge w:val="continue"/>
            <w:tcBorders>
              <w:left w:val="single" w:color="000000" w:sz="4" w:space="0"/>
              <w:bottom w:val="single" w:color="000000" w:sz="4" w:space="0"/>
              <w:right w:val="single" w:color="000000" w:sz="4" w:space="0"/>
              <w:tl2br w:val="nil"/>
              <w:tr2bl w:val="nil"/>
            </w:tcBorders>
          </w:tcPr>
          <w:p w14:paraId="3D6DE324">
            <w:pPr>
              <w:pStyle w:val="25"/>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14:paraId="509F7B05">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42CF0E29">
            <w:pPr>
              <w:autoSpaceDE w:val="0"/>
              <w:autoSpaceDN w:val="0"/>
              <w:adjustRightInd w:val="0"/>
              <w:jc w:val="center"/>
              <w:rPr>
                <w:rFonts w:ascii="Times New Roman" w:hAnsi="Times New Roman" w:eastAsia="宋体" w:cs="Times New Roman"/>
                <w:kern w:val="0"/>
                <w:sz w:val="2"/>
                <w:szCs w:val="2"/>
              </w:rPr>
            </w:pPr>
          </w:p>
        </w:tc>
      </w:tr>
      <w:tr w14:paraId="0C8BA455">
        <w:tblPrEx>
          <w:tblCellMar>
            <w:top w:w="0" w:type="dxa"/>
            <w:left w:w="108" w:type="dxa"/>
            <w:bottom w:w="0" w:type="dxa"/>
            <w:right w:w="108" w:type="dxa"/>
          </w:tblCellMar>
        </w:tblPrEx>
        <w:trPr>
          <w:trHeight w:val="313"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14:paraId="36FCFD92">
            <w:pPr>
              <w:pStyle w:val="25"/>
              <w:kinsoku w:val="0"/>
              <w:overflowPunct w:val="0"/>
              <w:spacing w:before="15"/>
              <w:rPr>
                <w:rFonts w:hint="default" w:ascii="方正小标宋_GBK" w:eastAsia="方正小标宋_GBK" w:cs="方正小标宋_GBK"/>
                <w:sz w:val="19"/>
                <w:szCs w:val="19"/>
              </w:rPr>
            </w:pPr>
          </w:p>
          <w:p w14:paraId="6C0D9E81">
            <w:pPr>
              <w:pStyle w:val="25"/>
              <w:kinsoku w:val="0"/>
              <w:overflowPunct w:val="0"/>
              <w:spacing w:line="278" w:lineRule="auto"/>
              <w:ind w:left="242" w:right="98" w:hanging="132"/>
              <w:rPr>
                <w:rFonts w:hint="default"/>
                <w:sz w:val="21"/>
                <w:szCs w:val="21"/>
              </w:rPr>
            </w:pPr>
            <w:r>
              <w:rPr>
                <w:sz w:val="21"/>
                <w:szCs w:val="21"/>
              </w:rPr>
              <w:t>课程目标 3</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7EA3AE5D">
            <w:pPr>
              <w:pStyle w:val="25"/>
              <w:kinsoku w:val="0"/>
              <w:overflowPunct w:val="0"/>
              <w:spacing w:before="25"/>
              <w:ind w:left="107" w:leftChars="0"/>
              <w:jc w:val="both"/>
              <w:rPr>
                <w:rFonts w:hint="default"/>
                <w:sz w:val="21"/>
                <w:szCs w:val="21"/>
              </w:rPr>
            </w:pPr>
            <w:r>
              <w:rPr>
                <w:rFonts w:hAnsi="宋体"/>
                <w:color w:val="auto"/>
                <w:sz w:val="21"/>
                <w:szCs w:val="21"/>
                <w:highlight w:val="none"/>
              </w:rPr>
              <w:t>1.构图技法的基本法则掌握，几种构图的要求与要领讲解。</w:t>
            </w:r>
          </w:p>
        </w:tc>
        <w:tc>
          <w:tcPr>
            <w:tcW w:w="919" w:type="pct"/>
            <w:vMerge w:val="restart"/>
            <w:tcBorders>
              <w:top w:val="single" w:color="000000" w:sz="4" w:space="0"/>
              <w:left w:val="single" w:color="000000" w:sz="4" w:space="0"/>
              <w:right w:val="single" w:color="000000" w:sz="4" w:space="0"/>
              <w:tl2br w:val="nil"/>
              <w:tr2bl w:val="nil"/>
            </w:tcBorders>
            <w:vAlign w:val="center"/>
          </w:tcPr>
          <w:p w14:paraId="22DA243F">
            <w:pPr>
              <w:adjustRightInd w:val="0"/>
              <w:snapToGrid w:val="0"/>
              <w:spacing w:line="300" w:lineRule="exact"/>
              <w:jc w:val="left"/>
              <w:rPr>
                <w:rFonts w:hint="default" w:ascii="Times New Roman" w:cs="Times New Roman"/>
                <w:sz w:val="22"/>
                <w:szCs w:val="22"/>
              </w:rPr>
            </w:pPr>
            <w:r>
              <w:rPr>
                <w:rFonts w:hint="eastAsia" w:ascii="Times New Roman" w:hAnsi="Times New Roman" w:eastAsia="宋体" w:cs="Times New Roman"/>
                <w:kern w:val="0"/>
                <w:szCs w:val="21"/>
                <w:lang w:val="en-US" w:eastAsia="zh-CN"/>
              </w:rPr>
              <w:t>模块</w:t>
            </w:r>
            <w:r>
              <w:rPr>
                <w:rFonts w:ascii="Times New Roman" w:hAnsi="Times New Roman" w:eastAsia="宋体" w:cs="Times New Roman"/>
                <w:kern w:val="0"/>
                <w:szCs w:val="21"/>
              </w:rPr>
              <w:t>3：</w:t>
            </w:r>
            <w:r>
              <w:rPr>
                <w:rFonts w:hint="eastAsia" w:ascii="Times New Roman" w:hAnsi="Times New Roman" w:eastAsia="宋体" w:cs="Times New Roman"/>
                <w:kern w:val="0"/>
                <w:szCs w:val="21"/>
                <w:lang w:val="en-US" w:eastAsia="zh-CN"/>
              </w:rPr>
              <w:t>套色木刻</w:t>
            </w:r>
            <w:r>
              <w:rPr>
                <w:rFonts w:hint="eastAsia" w:ascii="Times New Roman" w:hAnsi="Times New Roman" w:eastAsia="宋体" w:cs="Times New Roman"/>
                <w:kern w:val="0"/>
                <w:szCs w:val="21"/>
              </w:rPr>
              <w:t>技法解析与实践</w:t>
            </w:r>
          </w:p>
        </w:tc>
        <w:tc>
          <w:tcPr>
            <w:tcW w:w="545" w:type="pct"/>
            <w:vMerge w:val="restart"/>
            <w:tcBorders>
              <w:top w:val="single" w:color="000000" w:sz="4" w:space="0"/>
              <w:left w:val="single" w:color="000000" w:sz="4" w:space="0"/>
              <w:right w:val="single" w:color="000000" w:sz="4" w:space="0"/>
              <w:tl2br w:val="nil"/>
              <w:tr2bl w:val="nil"/>
            </w:tcBorders>
            <w:vAlign w:val="center"/>
          </w:tcPr>
          <w:p w14:paraId="4807671F">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color w:val="000000"/>
                <w:sz w:val="21"/>
              </w:rPr>
              <w:t>35%</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10A71CA3">
            <w:pPr>
              <w:pStyle w:val="25"/>
              <w:kinsoku w:val="0"/>
              <w:overflowPunct w:val="0"/>
              <w:jc w:val="both"/>
              <w:rPr>
                <w:rFonts w:hint="default" w:ascii="Times New Roman"/>
                <w:color w:val="auto"/>
                <w:sz w:val="22"/>
                <w:highlight w:val="none"/>
              </w:rPr>
            </w:pPr>
            <w:r>
              <w:rPr>
                <w:rFonts w:ascii="Times New Roman"/>
                <w:color w:val="auto"/>
                <w:sz w:val="22"/>
                <w:highlight w:val="none"/>
              </w:rPr>
              <w:t>平时作业与</w:t>
            </w:r>
          </w:p>
          <w:p w14:paraId="7AE19879">
            <w:pPr>
              <w:adjustRightInd w:val="0"/>
              <w:snapToGrid w:val="0"/>
              <w:spacing w:line="300" w:lineRule="exact"/>
              <w:jc w:val="left"/>
              <w:rPr>
                <w:rFonts w:hint="default" w:ascii="Times New Roman" w:cs="Times New Roman" w:eastAsiaTheme="minorEastAsia"/>
                <w:sz w:val="22"/>
                <w:szCs w:val="22"/>
                <w:lang w:val="en-US" w:eastAsia="zh-CN"/>
              </w:rPr>
            </w:pPr>
            <w:r>
              <w:rPr>
                <w:rFonts w:ascii="Times New Roman"/>
                <w:color w:val="auto"/>
                <w:sz w:val="22"/>
                <w:highlight w:val="none"/>
              </w:rPr>
              <w:t>上课的出勤考核现</w:t>
            </w:r>
          </w:p>
        </w:tc>
      </w:tr>
      <w:tr w14:paraId="1264DF13">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7EBCABE3">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1ED2A10A">
            <w:pPr>
              <w:pStyle w:val="25"/>
              <w:kinsoku w:val="0"/>
              <w:overflowPunct w:val="0"/>
              <w:spacing w:before="22"/>
              <w:ind w:left="107" w:leftChars="0"/>
              <w:jc w:val="both"/>
              <w:rPr>
                <w:rFonts w:hint="default"/>
                <w:sz w:val="21"/>
                <w:szCs w:val="21"/>
              </w:rPr>
            </w:pPr>
            <w:r>
              <w:rPr>
                <w:rFonts w:hAnsi="宋体"/>
                <w:color w:val="auto"/>
                <w:sz w:val="21"/>
                <w:szCs w:val="21"/>
                <w:highlight w:val="none"/>
              </w:rPr>
              <w:t>2.构图的法则知识介绍，表现风格与表现技法的理解。</w:t>
            </w:r>
          </w:p>
        </w:tc>
        <w:tc>
          <w:tcPr>
            <w:tcW w:w="919" w:type="pct"/>
            <w:vMerge w:val="continue"/>
            <w:tcBorders>
              <w:left w:val="single" w:color="000000" w:sz="4" w:space="0"/>
              <w:right w:val="single" w:color="000000" w:sz="4" w:space="0"/>
              <w:tl2br w:val="nil"/>
              <w:tr2bl w:val="nil"/>
            </w:tcBorders>
          </w:tcPr>
          <w:p w14:paraId="71244FD2">
            <w:pPr>
              <w:pStyle w:val="25"/>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14:paraId="4DD3A994">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43AA4CB2">
            <w:pPr>
              <w:autoSpaceDE w:val="0"/>
              <w:autoSpaceDN w:val="0"/>
              <w:adjustRightInd w:val="0"/>
              <w:jc w:val="center"/>
              <w:rPr>
                <w:rFonts w:ascii="Times New Roman" w:hAnsi="Times New Roman" w:eastAsia="宋体" w:cs="Times New Roman"/>
                <w:kern w:val="0"/>
                <w:sz w:val="2"/>
                <w:szCs w:val="2"/>
              </w:rPr>
            </w:pPr>
          </w:p>
        </w:tc>
      </w:tr>
      <w:tr w14:paraId="759EBA3B">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4B272141">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1FC857E8">
            <w:pPr>
              <w:pStyle w:val="25"/>
              <w:kinsoku w:val="0"/>
              <w:overflowPunct w:val="0"/>
              <w:spacing w:before="22"/>
              <w:ind w:left="107" w:leftChars="0"/>
              <w:jc w:val="both"/>
              <w:rPr>
                <w:rFonts w:hint="default"/>
                <w:sz w:val="21"/>
                <w:szCs w:val="21"/>
              </w:rPr>
            </w:pPr>
            <w:r>
              <w:rPr>
                <w:rFonts w:hAnsi="宋体"/>
                <w:color w:val="auto"/>
                <w:sz w:val="21"/>
                <w:szCs w:val="21"/>
                <w:highlight w:val="none"/>
              </w:rPr>
              <w:t>3.构图的创意，提倡个性化表达</w:t>
            </w:r>
          </w:p>
        </w:tc>
        <w:tc>
          <w:tcPr>
            <w:tcW w:w="919" w:type="pct"/>
            <w:vMerge w:val="continue"/>
            <w:tcBorders>
              <w:left w:val="single" w:color="000000" w:sz="4" w:space="0"/>
              <w:bottom w:val="single" w:color="000000" w:sz="4" w:space="0"/>
              <w:right w:val="single" w:color="000000" w:sz="4" w:space="0"/>
              <w:tl2br w:val="nil"/>
              <w:tr2bl w:val="nil"/>
            </w:tcBorders>
          </w:tcPr>
          <w:p w14:paraId="5469653C">
            <w:pPr>
              <w:pStyle w:val="25"/>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14:paraId="7D57CF5D">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081663E3">
            <w:pPr>
              <w:autoSpaceDE w:val="0"/>
              <w:autoSpaceDN w:val="0"/>
              <w:adjustRightInd w:val="0"/>
              <w:jc w:val="center"/>
              <w:rPr>
                <w:rFonts w:ascii="Times New Roman" w:hAnsi="Times New Roman" w:eastAsia="宋体" w:cs="Times New Roman"/>
                <w:kern w:val="0"/>
                <w:sz w:val="2"/>
                <w:szCs w:val="2"/>
              </w:rPr>
            </w:pPr>
          </w:p>
        </w:tc>
      </w:tr>
      <w:tr w14:paraId="68E02B45">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14:paraId="249C817D">
            <w:pPr>
              <w:pStyle w:val="25"/>
              <w:kinsoku w:val="0"/>
              <w:overflowPunct w:val="0"/>
              <w:spacing w:before="15"/>
              <w:rPr>
                <w:rFonts w:hint="default" w:ascii="方正小标宋_GBK" w:eastAsia="方正小标宋_GBK" w:cs="方正小标宋_GBK"/>
                <w:sz w:val="19"/>
                <w:szCs w:val="19"/>
              </w:rPr>
            </w:pPr>
          </w:p>
          <w:p w14:paraId="27A1CF6D">
            <w:pPr>
              <w:pStyle w:val="25"/>
              <w:kinsoku w:val="0"/>
              <w:overflowPunct w:val="0"/>
              <w:spacing w:line="278" w:lineRule="auto"/>
              <w:ind w:left="242" w:right="98" w:hanging="132"/>
              <w:rPr>
                <w:rFonts w:hint="default"/>
                <w:sz w:val="21"/>
                <w:szCs w:val="21"/>
              </w:rPr>
            </w:pPr>
            <w:r>
              <w:rPr>
                <w:sz w:val="21"/>
                <w:szCs w:val="21"/>
              </w:rPr>
              <w:t>课程目标 4</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7407F200">
            <w:pPr>
              <w:pStyle w:val="25"/>
              <w:kinsoku w:val="0"/>
              <w:overflowPunct w:val="0"/>
              <w:spacing w:before="22"/>
              <w:ind w:left="107" w:leftChars="0"/>
              <w:jc w:val="both"/>
              <w:rPr>
                <w:rFonts w:hint="default"/>
                <w:sz w:val="21"/>
                <w:szCs w:val="21"/>
              </w:rPr>
            </w:pPr>
            <w:r>
              <w:rPr>
                <w:rFonts w:hAnsi="宋体"/>
                <w:color w:val="auto"/>
                <w:sz w:val="21"/>
                <w:szCs w:val="21"/>
                <w:highlight w:val="none"/>
              </w:rPr>
              <w:t>1.正确认识创作前期工序的重要性</w:t>
            </w:r>
          </w:p>
        </w:tc>
        <w:tc>
          <w:tcPr>
            <w:tcW w:w="919" w:type="pct"/>
            <w:vMerge w:val="restart"/>
            <w:tcBorders>
              <w:top w:val="single" w:color="000000" w:sz="4" w:space="0"/>
              <w:left w:val="single" w:color="000000" w:sz="4" w:space="0"/>
              <w:right w:val="single" w:color="000000" w:sz="4" w:space="0"/>
              <w:tl2br w:val="nil"/>
              <w:tr2bl w:val="nil"/>
            </w:tcBorders>
            <w:vAlign w:val="center"/>
          </w:tcPr>
          <w:p w14:paraId="4499EA87">
            <w:pPr>
              <w:adjustRightInd w:val="0"/>
              <w:snapToGrid w:val="0"/>
              <w:spacing w:line="300" w:lineRule="exact"/>
              <w:jc w:val="left"/>
              <w:rPr>
                <w:rFonts w:hint="default" w:ascii="Times New Roman" w:cs="Times New Roman"/>
                <w:sz w:val="22"/>
                <w:szCs w:val="22"/>
              </w:rPr>
            </w:pPr>
            <w:r>
              <w:rPr>
                <w:rFonts w:hint="eastAsia" w:ascii="Times New Roman" w:hAnsi="Times New Roman" w:eastAsia="宋体" w:cs="Times New Roman"/>
                <w:kern w:val="0"/>
                <w:szCs w:val="21"/>
                <w:lang w:val="en-US" w:eastAsia="zh-CN"/>
              </w:rPr>
              <w:t>模块4</w:t>
            </w:r>
            <w:r>
              <w:rPr>
                <w:rFonts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套色木刻印刷</w:t>
            </w:r>
          </w:p>
        </w:tc>
        <w:tc>
          <w:tcPr>
            <w:tcW w:w="545" w:type="pct"/>
            <w:vMerge w:val="restart"/>
            <w:tcBorders>
              <w:top w:val="single" w:color="000000" w:sz="4" w:space="0"/>
              <w:left w:val="single" w:color="000000" w:sz="4" w:space="0"/>
              <w:right w:val="single" w:color="000000" w:sz="4" w:space="0"/>
              <w:tl2br w:val="nil"/>
              <w:tr2bl w:val="nil"/>
            </w:tcBorders>
            <w:vAlign w:val="center"/>
          </w:tcPr>
          <w:p w14:paraId="5C4FBCC6">
            <w:pPr>
              <w:pStyle w:val="25"/>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35</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7FECB9F">
            <w:pPr>
              <w:adjustRightInd w:val="0"/>
              <w:snapToGrid w:val="0"/>
              <w:spacing w:line="300" w:lineRule="exact"/>
              <w:jc w:val="left"/>
              <w:rPr>
                <w:rFonts w:hint="default" w:ascii="Times New Roman" w:cs="Times New Roman"/>
                <w:sz w:val="22"/>
                <w:szCs w:val="22"/>
                <w:lang w:val="en-US"/>
              </w:rPr>
            </w:pPr>
            <w:r>
              <w:rPr>
                <w:rFonts w:ascii="Times New Roman"/>
                <w:color w:val="auto"/>
                <w:sz w:val="22"/>
                <w:highlight w:val="none"/>
              </w:rPr>
              <w:t>期末作业要求</w:t>
            </w:r>
            <w:r>
              <w:rPr>
                <w:rFonts w:hint="eastAsia" w:ascii="Times New Roman" w:cs="Times New Roman"/>
                <w:sz w:val="22"/>
                <w:szCs w:val="22"/>
                <w:lang w:val="en-US" w:eastAsia="zh-CN"/>
              </w:rPr>
              <w:t>。</w:t>
            </w:r>
          </w:p>
        </w:tc>
      </w:tr>
      <w:tr w14:paraId="51CBE3D5">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2C577524">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2DC738AD">
            <w:pPr>
              <w:pStyle w:val="25"/>
              <w:kinsoku w:val="0"/>
              <w:overflowPunct w:val="0"/>
              <w:spacing w:before="22"/>
              <w:ind w:left="107" w:leftChars="0"/>
              <w:jc w:val="both"/>
              <w:rPr>
                <w:rFonts w:hint="default"/>
                <w:sz w:val="21"/>
                <w:szCs w:val="21"/>
              </w:rPr>
            </w:pPr>
            <w:r>
              <w:rPr>
                <w:rFonts w:hAnsi="宋体"/>
                <w:color w:val="auto"/>
                <w:sz w:val="21"/>
                <w:szCs w:val="21"/>
                <w:highlight w:val="none"/>
              </w:rPr>
              <w:t>2.端正创作态度，在具体操作的过程中体会情感表达的乐趣</w:t>
            </w:r>
          </w:p>
        </w:tc>
        <w:tc>
          <w:tcPr>
            <w:tcW w:w="919" w:type="pct"/>
            <w:vMerge w:val="continue"/>
            <w:tcBorders>
              <w:left w:val="single" w:color="000000" w:sz="4" w:space="0"/>
              <w:right w:val="single" w:color="000000" w:sz="4" w:space="0"/>
              <w:tl2br w:val="nil"/>
              <w:tr2bl w:val="nil"/>
            </w:tcBorders>
          </w:tcPr>
          <w:p w14:paraId="0DEBBE5C">
            <w:pPr>
              <w:pStyle w:val="25"/>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14:paraId="656291A0">
            <w:pPr>
              <w:pStyle w:val="25"/>
              <w:kinsoku w:val="0"/>
              <w:overflowPunct w:val="0"/>
              <w:spacing w:before="22"/>
              <w:ind w:left="185" w:right="177"/>
              <w:jc w:val="center"/>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5B59DAF3">
            <w:pPr>
              <w:autoSpaceDE w:val="0"/>
              <w:autoSpaceDN w:val="0"/>
              <w:adjustRightInd w:val="0"/>
              <w:jc w:val="center"/>
              <w:rPr>
                <w:rFonts w:ascii="Times New Roman" w:hAnsi="Times New Roman" w:eastAsia="宋体" w:cs="Times New Roman"/>
                <w:kern w:val="0"/>
                <w:sz w:val="2"/>
                <w:szCs w:val="2"/>
              </w:rPr>
            </w:pPr>
          </w:p>
        </w:tc>
      </w:tr>
      <w:tr w14:paraId="62DD05B5">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14:paraId="0A9358C5">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top"/>
          </w:tcPr>
          <w:p w14:paraId="2D2B2819">
            <w:pPr>
              <w:pStyle w:val="25"/>
              <w:kinsoku w:val="0"/>
              <w:overflowPunct w:val="0"/>
              <w:spacing w:before="25"/>
              <w:ind w:left="107" w:leftChars="0"/>
              <w:jc w:val="both"/>
              <w:rPr>
                <w:rFonts w:hint="default"/>
                <w:sz w:val="21"/>
                <w:szCs w:val="21"/>
              </w:rPr>
            </w:pPr>
            <w:r>
              <w:rPr>
                <w:rFonts w:hAnsi="宋体"/>
                <w:color w:val="auto"/>
                <w:sz w:val="21"/>
                <w:szCs w:val="21"/>
                <w:highlight w:val="none"/>
              </w:rPr>
              <w:t>3.创作成品的自我衡量，从中获取学习的经验。</w:t>
            </w:r>
          </w:p>
        </w:tc>
        <w:tc>
          <w:tcPr>
            <w:tcW w:w="919" w:type="pct"/>
            <w:vMerge w:val="continue"/>
            <w:tcBorders>
              <w:left w:val="single" w:color="000000" w:sz="4" w:space="0"/>
              <w:bottom w:val="single" w:color="000000" w:sz="4" w:space="0"/>
              <w:right w:val="single" w:color="000000" w:sz="4" w:space="0"/>
              <w:tl2br w:val="nil"/>
              <w:tr2bl w:val="nil"/>
            </w:tcBorders>
          </w:tcPr>
          <w:p w14:paraId="3CE698EB">
            <w:pPr>
              <w:pStyle w:val="25"/>
              <w:kinsoku w:val="0"/>
              <w:overflowPunct w:val="0"/>
              <w:rPr>
                <w:rFonts w:hint="default" w:ascii="Times New Roman" w:cs="Times New Roman"/>
                <w:sz w:val="22"/>
                <w:szCs w:val="22"/>
              </w:rPr>
            </w:pPr>
          </w:p>
        </w:tc>
        <w:tc>
          <w:tcPr>
            <w:tcW w:w="545" w:type="pct"/>
            <w:vMerge w:val="continue"/>
            <w:tcBorders>
              <w:left w:val="single" w:color="000000" w:sz="4" w:space="0"/>
              <w:bottom w:val="single" w:color="auto" w:sz="4" w:space="0"/>
              <w:right w:val="single" w:color="000000" w:sz="4" w:space="0"/>
              <w:tl2br w:val="nil"/>
              <w:tr2bl w:val="nil"/>
            </w:tcBorders>
            <w:vAlign w:val="center"/>
          </w:tcPr>
          <w:p w14:paraId="1F512DE7">
            <w:pPr>
              <w:pStyle w:val="25"/>
              <w:kinsoku w:val="0"/>
              <w:overflowPunct w:val="0"/>
              <w:spacing w:before="22"/>
              <w:ind w:left="185" w:right="177"/>
              <w:jc w:val="center"/>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14:paraId="6C3D7C8A">
            <w:pPr>
              <w:autoSpaceDE w:val="0"/>
              <w:autoSpaceDN w:val="0"/>
              <w:adjustRightInd w:val="0"/>
              <w:jc w:val="center"/>
              <w:rPr>
                <w:rFonts w:ascii="Times New Roman" w:hAnsi="Times New Roman" w:eastAsia="宋体" w:cs="Times New Roman"/>
                <w:kern w:val="0"/>
                <w:sz w:val="2"/>
                <w:szCs w:val="2"/>
              </w:rPr>
            </w:pPr>
          </w:p>
        </w:tc>
      </w:tr>
    </w:tbl>
    <w:p w14:paraId="1B75E7C4">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14:paraId="6F87B9A1">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14:paraId="378C9763">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14:paraId="536ECE05">
      <w:pPr>
        <w:snapToGrid w:val="0"/>
        <w:spacing w:line="400" w:lineRule="exact"/>
        <w:ind w:firstLine="480" w:firstLineChars="200"/>
        <w:jc w:val="both"/>
        <w:rPr>
          <w:rFonts w:hint="eastAsia" w:hAnsi="宋体"/>
          <w:color w:val="auto"/>
          <w:sz w:val="24"/>
          <w:szCs w:val="24"/>
          <w:lang w:val="zh-TW"/>
        </w:rPr>
      </w:pPr>
      <w:r>
        <w:rPr>
          <w:rFonts w:hint="eastAsia" w:hAnsi="宋体"/>
          <w:color w:val="auto"/>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color w:val="auto"/>
          <w:sz w:val="24"/>
          <w:szCs w:val="24"/>
          <w:lang w:val="zh-TW"/>
        </w:rPr>
        <w:t>考核理论实践</w:t>
      </w:r>
      <w:r>
        <w:rPr>
          <w:rFonts w:hint="eastAsia" w:hAnsi="宋体"/>
          <w:color w:val="auto"/>
          <w:sz w:val="24"/>
          <w:szCs w:val="24"/>
          <w:lang w:val="zh-TW" w:eastAsia="zh-TW"/>
        </w:rPr>
        <w:t>能力，创新实践能力。</w:t>
      </w:r>
    </w:p>
    <w:p w14:paraId="571B5355">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14:paraId="74DEA57B">
      <w:pPr>
        <w:autoSpaceDE w:val="0"/>
        <w:autoSpaceDN w:val="0"/>
        <w:adjustRightInd w:val="0"/>
        <w:snapToGrid w:val="0"/>
        <w:spacing w:line="400" w:lineRule="exact"/>
        <w:ind w:firstLine="482" w:firstLineChars="200"/>
        <w:jc w:val="left"/>
        <w:rPr>
          <w:rFonts w:hint="default" w:ascii="Times" w:hAnsi="Times" w:eastAsia="宋体" w:cs="Times"/>
          <w:b/>
          <w:kern w:val="0"/>
          <w:sz w:val="24"/>
          <w:szCs w:val="24"/>
        </w:rPr>
      </w:pPr>
      <w:r>
        <w:rPr>
          <w:rFonts w:hint="eastAsia" w:ascii="Times" w:hAnsi="Times" w:eastAsia="宋体" w:cs="Times"/>
          <w:b/>
          <w:kern w:val="0"/>
          <w:sz w:val="24"/>
          <w:szCs w:val="24"/>
          <w:lang w:val="en-US" w:eastAsia="zh-CN"/>
        </w:rPr>
        <w:t>2.</w:t>
      </w:r>
      <w:r>
        <w:rPr>
          <w:rFonts w:hint="eastAsia" w:ascii="Times" w:hAnsi="Times" w:eastAsia="宋体" w:cs="Times"/>
          <w:b/>
          <w:kern w:val="0"/>
          <w:sz w:val="24"/>
          <w:szCs w:val="24"/>
        </w:rPr>
        <w:t>平时成绩评定依据</w:t>
      </w:r>
    </w:p>
    <w:p w14:paraId="4C56BD1F">
      <w:pPr>
        <w:snapToGrid w:val="0"/>
        <w:spacing w:line="400" w:lineRule="exact"/>
        <w:ind w:firstLine="480" w:firstLineChars="200"/>
        <w:jc w:val="both"/>
        <w:rPr>
          <w:rFonts w:hint="default" w:hAnsi="宋体"/>
          <w:color w:val="auto"/>
          <w:sz w:val="24"/>
          <w:szCs w:val="24"/>
          <w:lang w:val="zh-TW" w:eastAsia="zh-TW"/>
        </w:rPr>
      </w:pPr>
      <w:r>
        <w:rPr>
          <w:rFonts w:hint="eastAsia" w:hAnsi="宋体"/>
          <w:color w:val="auto"/>
          <w:sz w:val="24"/>
          <w:szCs w:val="24"/>
          <w:lang w:val="zh-TW" w:eastAsia="zh-TW"/>
        </w:rPr>
        <w:t>评时成绩评定包括学生在整个课程过程中的表现、评时作业完成情况。学习过程的实践操作情况、理论知识的认知情况，评时作业的完整度、深入度，和体现出来的学习追求，出勤情况。评时成绩占总成绩的</w:t>
      </w:r>
      <w:r>
        <w:rPr>
          <w:rFonts w:hint="default" w:hAnsi="宋体"/>
          <w:color w:val="auto"/>
          <w:sz w:val="24"/>
          <w:szCs w:val="24"/>
          <w:lang w:val="zh-TW" w:eastAsia="zh-TW"/>
        </w:rPr>
        <w:t>30%</w:t>
      </w:r>
      <w:r>
        <w:rPr>
          <w:rFonts w:hint="eastAsia" w:hAnsi="宋体"/>
          <w:color w:val="auto"/>
          <w:sz w:val="24"/>
          <w:szCs w:val="24"/>
          <w:lang w:val="zh-TW" w:eastAsia="zh-TW"/>
        </w:rPr>
        <w:t>。</w:t>
      </w:r>
    </w:p>
    <w:p w14:paraId="059B13CA">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2" w:firstLineChars="200"/>
        <w:jc w:val="both"/>
        <w:textAlignment w:val="auto"/>
        <w:rPr>
          <w:rFonts w:hint="eastAsia" w:ascii="Times" w:hAnsi="Times" w:cs="Times"/>
          <w:color w:val="auto"/>
          <w:sz w:val="22"/>
          <w:szCs w:val="21"/>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tbl>
      <w:tblPr>
        <w:tblStyle w:val="11"/>
        <w:tblW w:w="9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666"/>
        <w:gridCol w:w="1548"/>
        <w:gridCol w:w="1757"/>
        <w:gridCol w:w="1757"/>
        <w:gridCol w:w="1671"/>
      </w:tblGrid>
      <w:tr w14:paraId="634B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811F7">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6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A2E90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lang w:val="en-US" w:eastAsia="zh-CN"/>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54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D2632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lang w:val="en-US" w:eastAsia="zh-CN"/>
              </w:rPr>
              <w:t>80</w:t>
            </w:r>
            <w:r>
              <w:rPr>
                <w:rFonts w:hint="default" w:ascii="Times New Roman" w:cs="Times New Roman"/>
                <w:b/>
                <w:bCs/>
                <w:color w:val="auto"/>
                <w:sz w:val="21"/>
                <w:szCs w:val="21"/>
              </w:rPr>
              <w:t>-89</w:t>
            </w:r>
            <w:r>
              <w:rPr>
                <w:rFonts w:hint="eastAsia" w:ascii="Times New Roman" w:cs="Times New Roman"/>
                <w:b/>
                <w:bCs/>
                <w:color w:val="auto"/>
                <w:sz w:val="21"/>
                <w:szCs w:val="21"/>
              </w:rPr>
              <w:t>分</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8439D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lang w:val="en-US" w:eastAsia="zh-CN"/>
              </w:rPr>
              <w:t>70-79分</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F9960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w:t>
            </w:r>
            <w:r>
              <w:rPr>
                <w:rFonts w:hint="eastAsia" w:ascii="Times New Roman" w:cs="Times New Roman"/>
                <w:b/>
                <w:bCs/>
                <w:color w:val="auto"/>
                <w:sz w:val="21"/>
                <w:szCs w:val="21"/>
                <w:lang w:val="en-US" w:eastAsia="zh-CN"/>
              </w:rPr>
              <w:t>69</w:t>
            </w:r>
            <w:r>
              <w:rPr>
                <w:rFonts w:hint="eastAsia" w:ascii="Times New Roman" w:cs="Times New Roman"/>
                <w:b/>
                <w:bCs/>
                <w:color w:val="auto"/>
                <w:sz w:val="21"/>
                <w:szCs w:val="21"/>
              </w:rPr>
              <w:t>分</w:t>
            </w:r>
          </w:p>
        </w:tc>
        <w:tc>
          <w:tcPr>
            <w:tcW w:w="16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C1AAF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14:paraId="5DDA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C89783">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1666" w:type="dxa"/>
            <w:tcBorders>
              <w:top w:val="single" w:color="auto" w:sz="4" w:space="0"/>
              <w:left w:val="single" w:color="auto" w:sz="4" w:space="0"/>
              <w:bottom w:val="single" w:color="auto" w:sz="4" w:space="0"/>
              <w:right w:val="single" w:color="auto" w:sz="4" w:space="0"/>
              <w:tl2br w:val="nil"/>
              <w:tr2bl w:val="nil"/>
            </w:tcBorders>
            <w:noWrap w:val="0"/>
            <w:vAlign w:val="top"/>
          </w:tcPr>
          <w:p w14:paraId="7D31016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分组练习团结协作，角度选择合理，状态投入认真。</w:t>
            </w:r>
          </w:p>
        </w:tc>
        <w:tc>
          <w:tcPr>
            <w:tcW w:w="1548" w:type="dxa"/>
            <w:tcBorders>
              <w:top w:val="single" w:color="auto" w:sz="4" w:space="0"/>
              <w:left w:val="single" w:color="auto" w:sz="4" w:space="0"/>
              <w:bottom w:val="single" w:color="auto" w:sz="4" w:space="0"/>
              <w:right w:val="single" w:color="auto" w:sz="4" w:space="0"/>
              <w:tl2br w:val="nil"/>
              <w:tr2bl w:val="nil"/>
            </w:tcBorders>
            <w:noWrap w:val="0"/>
            <w:vAlign w:val="top"/>
          </w:tcPr>
          <w:p w14:paraId="49C21AF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套色木刻练习</w:t>
            </w:r>
            <w:r>
              <w:rPr>
                <w:rFonts w:hint="eastAsia" w:ascii="Times New Roman" w:cs="Times New Roman"/>
                <w:color w:val="auto"/>
                <w:sz w:val="21"/>
                <w:szCs w:val="21"/>
              </w:rPr>
              <w:t>目标清晰有较好的投入状态。</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673AD56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color w:val="auto"/>
                <w:sz w:val="21"/>
                <w:szCs w:val="21"/>
                <w:lang w:val="en-US" w:eastAsia="zh-CN"/>
              </w:rPr>
            </w:pPr>
            <w:r>
              <w:rPr>
                <w:rFonts w:hint="eastAsia" w:ascii="宋体" w:hAnsi="宋体" w:eastAsia="宋体" w:cs="宋体"/>
                <w:color w:val="auto"/>
                <w:sz w:val="21"/>
                <w:szCs w:val="21"/>
                <w:lang w:val="en-US" w:eastAsia="zh-CN"/>
              </w:rPr>
              <w:t>技法训练</w:t>
            </w:r>
            <w:r>
              <w:rPr>
                <w:rFonts w:hint="eastAsia" w:ascii="宋体" w:hAnsi="宋体" w:eastAsia="宋体" w:cs="宋体"/>
                <w:color w:val="auto"/>
                <w:sz w:val="21"/>
                <w:szCs w:val="21"/>
              </w:rPr>
              <w:t>目标</w:t>
            </w:r>
            <w:r>
              <w:rPr>
                <w:rFonts w:hint="eastAsia" w:ascii="宋体" w:hAnsi="宋体" w:eastAsia="宋体" w:cs="宋体"/>
                <w:color w:val="auto"/>
                <w:sz w:val="21"/>
                <w:szCs w:val="21"/>
                <w:lang w:val="en-US" w:eastAsia="zh-CN"/>
              </w:rPr>
              <w:t>较</w:t>
            </w:r>
            <w:r>
              <w:rPr>
                <w:rFonts w:hint="eastAsia" w:ascii="宋体" w:hAnsi="宋体" w:eastAsia="宋体" w:cs="宋体"/>
                <w:color w:val="auto"/>
                <w:sz w:val="21"/>
                <w:szCs w:val="21"/>
              </w:rPr>
              <w:t>清晰，</w:t>
            </w:r>
            <w:r>
              <w:rPr>
                <w:rFonts w:hint="eastAsia" w:ascii="宋体" w:hAnsi="宋体" w:eastAsia="宋体" w:cs="宋体"/>
                <w:color w:val="auto"/>
                <w:sz w:val="21"/>
                <w:szCs w:val="21"/>
                <w:lang w:val="en-US" w:eastAsia="zh-CN"/>
              </w:rPr>
              <w:t>表现不够熟练，投入状态一般。</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37C7C33A">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投入时间不足，画面进展缓慢，效果不佳。</w:t>
            </w:r>
          </w:p>
        </w:tc>
        <w:tc>
          <w:tcPr>
            <w:tcW w:w="1671" w:type="dxa"/>
            <w:tcBorders>
              <w:top w:val="single" w:color="auto" w:sz="4" w:space="0"/>
              <w:left w:val="single" w:color="auto" w:sz="4" w:space="0"/>
              <w:bottom w:val="single" w:color="auto" w:sz="4" w:space="0"/>
              <w:right w:val="single" w:color="auto" w:sz="4" w:space="0"/>
              <w:tl2br w:val="nil"/>
              <w:tr2bl w:val="nil"/>
            </w:tcBorders>
            <w:noWrap w:val="0"/>
            <w:vAlign w:val="top"/>
          </w:tcPr>
          <w:p w14:paraId="665C820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画面不完整，在要求的时间内未完成写生训练。</w:t>
            </w:r>
          </w:p>
        </w:tc>
      </w:tr>
      <w:tr w14:paraId="35CE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2409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1666" w:type="dxa"/>
            <w:tcBorders>
              <w:top w:val="single" w:color="auto" w:sz="4" w:space="0"/>
              <w:left w:val="single" w:color="auto" w:sz="4" w:space="0"/>
              <w:bottom w:val="single" w:color="auto" w:sz="4" w:space="0"/>
              <w:right w:val="single" w:color="auto" w:sz="4" w:space="0"/>
              <w:tl2br w:val="nil"/>
              <w:tr2bl w:val="nil"/>
            </w:tcBorders>
            <w:noWrap w:val="0"/>
            <w:vAlign w:val="top"/>
          </w:tcPr>
          <w:p w14:paraId="3911E57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师生互动过程表现活跃，问题有</w:t>
            </w:r>
            <w:r>
              <w:rPr>
                <w:rFonts w:hint="eastAsia" w:ascii="Times New Roman" w:cs="Times New Roman"/>
                <w:color w:val="auto"/>
                <w:sz w:val="21"/>
                <w:szCs w:val="21"/>
                <w:lang w:val="en-US" w:eastAsia="zh-CN"/>
              </w:rPr>
              <w:t>正对性</w:t>
            </w:r>
            <w:r>
              <w:rPr>
                <w:rFonts w:hint="eastAsia" w:ascii="Times New Roman" w:cs="Times New Roman"/>
                <w:color w:val="auto"/>
                <w:sz w:val="21"/>
                <w:szCs w:val="21"/>
              </w:rPr>
              <w:t>，解决画面问题。</w:t>
            </w:r>
          </w:p>
        </w:tc>
        <w:tc>
          <w:tcPr>
            <w:tcW w:w="1548" w:type="dxa"/>
            <w:tcBorders>
              <w:top w:val="single" w:color="auto" w:sz="4" w:space="0"/>
              <w:left w:val="single" w:color="auto" w:sz="4" w:space="0"/>
              <w:bottom w:val="single" w:color="auto" w:sz="4" w:space="0"/>
              <w:right w:val="single" w:color="auto" w:sz="4" w:space="0"/>
              <w:tl2br w:val="nil"/>
              <w:tr2bl w:val="nil"/>
            </w:tcBorders>
            <w:noWrap w:val="0"/>
            <w:vAlign w:val="top"/>
          </w:tcPr>
          <w:p w14:paraId="5E98C55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讨论过程语言组织表达能力一般，观点正确。</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599CB54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color w:val="auto"/>
                <w:sz w:val="21"/>
                <w:szCs w:val="21"/>
              </w:rPr>
            </w:pPr>
            <w:r>
              <w:rPr>
                <w:rFonts w:hint="eastAsia" w:ascii="宋体" w:hAnsi="宋体" w:eastAsia="宋体" w:cs="宋体"/>
                <w:color w:val="auto"/>
                <w:sz w:val="21"/>
                <w:szCs w:val="21"/>
              </w:rPr>
              <w:t>讨论过程语言组织表达能力</w:t>
            </w:r>
            <w:r>
              <w:rPr>
                <w:rFonts w:hint="eastAsia" w:ascii="宋体" w:hAnsi="宋体" w:eastAsia="宋体" w:cs="宋体"/>
                <w:color w:val="auto"/>
                <w:sz w:val="21"/>
                <w:szCs w:val="21"/>
                <w:lang w:val="en-US" w:eastAsia="zh-CN"/>
              </w:rPr>
              <w:t>较弱</w:t>
            </w:r>
            <w:r>
              <w:rPr>
                <w:rFonts w:hint="eastAsia" w:ascii="宋体" w:hAnsi="宋体" w:eastAsia="宋体" w:cs="宋体"/>
                <w:color w:val="auto"/>
                <w:sz w:val="21"/>
                <w:szCs w:val="21"/>
              </w:rPr>
              <w:t>，观点</w:t>
            </w:r>
            <w:r>
              <w:rPr>
                <w:rFonts w:hint="eastAsia" w:ascii="宋体" w:hAnsi="宋体" w:eastAsia="宋体" w:cs="宋体"/>
                <w:color w:val="auto"/>
                <w:sz w:val="21"/>
                <w:szCs w:val="21"/>
                <w:lang w:val="en-US" w:eastAsia="zh-CN"/>
              </w:rPr>
              <w:t>不明确</w:t>
            </w:r>
            <w:r>
              <w:rPr>
                <w:rFonts w:hint="eastAsia" w:ascii="宋体" w:hAnsi="宋体" w:eastAsia="宋体" w:cs="宋体"/>
                <w:color w:val="auto"/>
                <w:sz w:val="21"/>
                <w:szCs w:val="21"/>
              </w:rPr>
              <w:t>。</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0B1A1493">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对关键词的理解出现方向性偏颇，互评阶段语言不规范。</w:t>
            </w:r>
          </w:p>
        </w:tc>
        <w:tc>
          <w:tcPr>
            <w:tcW w:w="1671" w:type="dxa"/>
            <w:tcBorders>
              <w:top w:val="single" w:color="auto" w:sz="4" w:space="0"/>
              <w:left w:val="single" w:color="auto" w:sz="4" w:space="0"/>
              <w:bottom w:val="single" w:color="auto" w:sz="4" w:space="0"/>
              <w:right w:val="single" w:color="auto" w:sz="4" w:space="0"/>
              <w:tl2br w:val="nil"/>
              <w:tr2bl w:val="nil"/>
            </w:tcBorders>
            <w:noWrap w:val="0"/>
            <w:vAlign w:val="top"/>
          </w:tcPr>
          <w:p w14:paraId="353732B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观点错误，语言表达能力差。</w:t>
            </w:r>
          </w:p>
        </w:tc>
      </w:tr>
    </w:tbl>
    <w:p w14:paraId="20BA7E87">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1"/>
        <w:tblW w:w="9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873"/>
        <w:gridCol w:w="1879"/>
        <w:gridCol w:w="1671"/>
        <w:gridCol w:w="1880"/>
        <w:gridCol w:w="1895"/>
      </w:tblGrid>
      <w:tr w14:paraId="7710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 w:type="dxa"/>
            <w:tcBorders>
              <w:top w:val="single" w:color="auto" w:sz="4" w:space="0"/>
              <w:left w:val="single" w:color="auto" w:sz="4" w:space="0"/>
              <w:bottom w:val="single" w:color="auto" w:sz="4" w:space="0"/>
              <w:right w:val="single" w:color="auto" w:sz="4" w:space="0"/>
              <w:tl2br w:val="nil"/>
              <w:tr2bl w:val="nil"/>
            </w:tcBorders>
            <w:noWrap w:val="0"/>
            <w:vAlign w:val="top"/>
          </w:tcPr>
          <w:p w14:paraId="499B21A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B6484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lang w:val="en-US" w:eastAsia="zh-CN"/>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5D91C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lang w:val="en-US" w:eastAsia="zh-CN"/>
              </w:rPr>
              <w:t>80</w:t>
            </w:r>
            <w:r>
              <w:rPr>
                <w:rFonts w:hint="default" w:ascii="Times New Roman" w:cs="Times New Roman"/>
                <w:b/>
                <w:bCs/>
                <w:color w:val="auto"/>
                <w:sz w:val="21"/>
                <w:szCs w:val="21"/>
              </w:rPr>
              <w:t>-89</w:t>
            </w:r>
            <w:r>
              <w:rPr>
                <w:rFonts w:hint="eastAsia" w:ascii="Times New Roman" w:cs="Times New Roman"/>
                <w:b/>
                <w:bCs/>
                <w:color w:val="auto"/>
                <w:sz w:val="21"/>
                <w:szCs w:val="21"/>
              </w:rPr>
              <w:t>分</w:t>
            </w:r>
          </w:p>
        </w:tc>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B898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hAnsiTheme="minorHAnsi" w:eastAsiaTheme="minorEastAsia"/>
                <w:b/>
                <w:bCs/>
                <w:color w:val="auto"/>
                <w:kern w:val="2"/>
                <w:sz w:val="21"/>
                <w:szCs w:val="21"/>
                <w:lang w:val="en-US" w:eastAsia="zh-CN" w:bidi="ar-SA"/>
              </w:rPr>
            </w:pPr>
            <w:r>
              <w:rPr>
                <w:rFonts w:hint="eastAsia" w:ascii="Times New Roman" w:cs="Times New Roman"/>
                <w:b/>
                <w:bCs/>
                <w:color w:val="auto"/>
                <w:sz w:val="21"/>
                <w:szCs w:val="21"/>
                <w:lang w:val="en-US" w:eastAsia="zh-CN"/>
              </w:rPr>
              <w:t>70-79分</w:t>
            </w:r>
          </w:p>
        </w:tc>
        <w:tc>
          <w:tcPr>
            <w:tcW w:w="19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DFCA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w:t>
            </w:r>
            <w:r>
              <w:rPr>
                <w:rFonts w:hint="eastAsia" w:ascii="Times New Roman" w:cs="Times New Roman"/>
                <w:b/>
                <w:bCs/>
                <w:color w:val="auto"/>
                <w:sz w:val="21"/>
                <w:szCs w:val="21"/>
                <w:lang w:val="en-US" w:eastAsia="zh-CN"/>
              </w:rPr>
              <w:t>69</w:t>
            </w:r>
            <w:r>
              <w:rPr>
                <w:rFonts w:hint="eastAsia" w:ascii="Times New Roman" w:cs="Times New Roman"/>
                <w:b/>
                <w:bCs/>
                <w:color w:val="auto"/>
                <w:sz w:val="21"/>
                <w:szCs w:val="21"/>
              </w:rPr>
              <w:t>分</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3D5866">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14:paraId="612A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8AB2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908" w:type="dxa"/>
            <w:tcBorders>
              <w:top w:val="single" w:color="auto" w:sz="4" w:space="0"/>
              <w:left w:val="single" w:color="auto" w:sz="4" w:space="0"/>
              <w:bottom w:val="single" w:color="auto" w:sz="4" w:space="0"/>
              <w:right w:val="single" w:color="auto" w:sz="4" w:space="0"/>
              <w:tl2br w:val="nil"/>
              <w:tr2bl w:val="nil"/>
            </w:tcBorders>
            <w:noWrap w:val="0"/>
            <w:vAlign w:val="top"/>
          </w:tcPr>
          <w:p w14:paraId="2F94B3A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课堂</w:t>
            </w:r>
            <w:r>
              <w:rPr>
                <w:rFonts w:hint="eastAsia" w:ascii="宋体" w:hAnsi="宋体" w:eastAsia="宋体" w:cs="宋体"/>
                <w:color w:val="auto"/>
                <w:sz w:val="21"/>
                <w:szCs w:val="21"/>
              </w:rPr>
              <w:t>心得文本态度好，整洁，思路清晰，观点正确，理解透彻。</w:t>
            </w:r>
          </w:p>
        </w:tc>
        <w:tc>
          <w:tcPr>
            <w:tcW w:w="1918" w:type="dxa"/>
            <w:tcBorders>
              <w:top w:val="single" w:color="auto" w:sz="4" w:space="0"/>
              <w:left w:val="single" w:color="auto" w:sz="4" w:space="0"/>
              <w:bottom w:val="single" w:color="auto" w:sz="4" w:space="0"/>
              <w:right w:val="single" w:color="auto" w:sz="4" w:space="0"/>
              <w:tl2br w:val="nil"/>
              <w:tr2bl w:val="nil"/>
            </w:tcBorders>
            <w:noWrap w:val="0"/>
            <w:vAlign w:val="top"/>
          </w:tcPr>
          <w:p w14:paraId="48008F3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课堂</w:t>
            </w:r>
            <w:r>
              <w:rPr>
                <w:rFonts w:hint="eastAsia" w:ascii="宋体" w:hAnsi="宋体" w:eastAsia="宋体" w:cs="宋体"/>
                <w:color w:val="auto"/>
                <w:sz w:val="21"/>
                <w:szCs w:val="21"/>
              </w:rPr>
              <w:t>心得文本一般，逻辑层次明了，理解能力一般。</w:t>
            </w:r>
          </w:p>
        </w:tc>
        <w:tc>
          <w:tcPr>
            <w:tcW w:w="1703" w:type="dxa"/>
            <w:tcBorders>
              <w:top w:val="single" w:color="auto" w:sz="4" w:space="0"/>
              <w:left w:val="single" w:color="auto" w:sz="4" w:space="0"/>
              <w:bottom w:val="single" w:color="auto" w:sz="4" w:space="0"/>
              <w:right w:val="single" w:color="auto" w:sz="4" w:space="0"/>
              <w:tl2br w:val="nil"/>
              <w:tr2bl w:val="nil"/>
            </w:tcBorders>
            <w:noWrap w:val="0"/>
            <w:vAlign w:val="top"/>
          </w:tcPr>
          <w:p w14:paraId="2A2995E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宋体" w:hAnsi="宋体" w:eastAsia="宋体" w:cs="宋体"/>
                <w:color w:val="auto"/>
                <w:sz w:val="21"/>
                <w:szCs w:val="21"/>
                <w:lang w:val="en-US" w:eastAsia="zh-CN"/>
              </w:rPr>
              <w:t>课堂</w:t>
            </w:r>
            <w:r>
              <w:rPr>
                <w:rFonts w:hint="eastAsia" w:ascii="宋体" w:hAnsi="宋体" w:eastAsia="宋体" w:cs="宋体"/>
                <w:color w:val="auto"/>
                <w:sz w:val="21"/>
                <w:szCs w:val="21"/>
              </w:rPr>
              <w:t>心得文本</w:t>
            </w:r>
            <w:r>
              <w:rPr>
                <w:rFonts w:hint="eastAsia" w:ascii="宋体" w:hAnsi="宋体" w:eastAsia="宋体" w:cs="宋体"/>
                <w:color w:val="auto"/>
                <w:sz w:val="21"/>
                <w:szCs w:val="21"/>
                <w:lang w:val="en-US" w:eastAsia="zh-CN"/>
              </w:rPr>
              <w:t>逻辑不清晰</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思路不清晰</w:t>
            </w:r>
            <w:r>
              <w:rPr>
                <w:rFonts w:hint="eastAsia" w:ascii="宋体" w:hAnsi="宋体" w:eastAsia="宋体" w:cs="宋体"/>
                <w:color w:val="auto"/>
                <w:sz w:val="21"/>
                <w:szCs w:val="21"/>
              </w:rPr>
              <w:t>，理解能力</w:t>
            </w:r>
            <w:r>
              <w:rPr>
                <w:rFonts w:hint="eastAsia" w:ascii="宋体" w:hAnsi="宋体" w:eastAsia="宋体" w:cs="宋体"/>
                <w:color w:val="auto"/>
                <w:sz w:val="21"/>
                <w:szCs w:val="21"/>
                <w:lang w:val="en-US" w:eastAsia="zh-CN"/>
              </w:rPr>
              <w:t>较弱。</w:t>
            </w:r>
          </w:p>
        </w:tc>
        <w:tc>
          <w:tcPr>
            <w:tcW w:w="1919" w:type="dxa"/>
            <w:tcBorders>
              <w:top w:val="single" w:color="auto" w:sz="4" w:space="0"/>
              <w:left w:val="single" w:color="auto" w:sz="4" w:space="0"/>
              <w:bottom w:val="single" w:color="auto" w:sz="4" w:space="0"/>
              <w:right w:val="single" w:color="auto" w:sz="4" w:space="0"/>
              <w:tl2br w:val="nil"/>
              <w:tr2bl w:val="nil"/>
            </w:tcBorders>
            <w:noWrap w:val="0"/>
            <w:vAlign w:val="top"/>
          </w:tcPr>
          <w:p w14:paraId="749E212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投入时间不足，层次较为混乱，理解能力不佳。</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top"/>
          </w:tcPr>
          <w:p w14:paraId="56E46094">
            <w:pPr>
              <w:pStyle w:val="10"/>
              <w:ind w:left="0" w:leftChars="0" w:firstLine="0" w:firstLineChars="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对基本理论知识和技法理解掌握程度差，</w:t>
            </w:r>
            <w:r>
              <w:rPr>
                <w:rFonts w:hint="eastAsia" w:ascii="宋体" w:hAnsi="宋体" w:cs="宋体"/>
                <w:color w:val="auto"/>
                <w:kern w:val="2"/>
                <w:sz w:val="21"/>
                <w:szCs w:val="21"/>
                <w:lang w:val="en-US" w:eastAsia="zh-CN" w:bidi="ar-SA"/>
              </w:rPr>
              <w:t>文本表达能力差。</w:t>
            </w:r>
          </w:p>
        </w:tc>
      </w:tr>
      <w:tr w14:paraId="50A0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DF77C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eastAsia" w:ascii="Times New Roman" w:cs="Times New Roman" w:eastAsiaTheme="minorEastAsia"/>
                <w:b/>
                <w:bCs/>
                <w:color w:val="auto"/>
                <w:sz w:val="21"/>
                <w:szCs w:val="21"/>
                <w:lang w:eastAsia="zh-CN"/>
              </w:rPr>
            </w:pPr>
            <w:r>
              <w:rPr>
                <w:rFonts w:hint="eastAsia" w:ascii="Times New Roman" w:cs="Times New Roman"/>
                <w:b/>
                <w:bCs/>
                <w:color w:val="auto"/>
                <w:sz w:val="21"/>
                <w:szCs w:val="21"/>
              </w:rPr>
              <w:t>作品</w:t>
            </w:r>
            <w:r>
              <w:rPr>
                <w:rFonts w:hint="eastAsia" w:ascii="Times New Roman" w:cs="Times New Roman"/>
                <w:b/>
                <w:bCs/>
                <w:color w:val="auto"/>
                <w:sz w:val="21"/>
                <w:szCs w:val="21"/>
                <w:lang w:val="en-US" w:eastAsia="zh-CN"/>
              </w:rPr>
              <w:t>效果</w:t>
            </w:r>
          </w:p>
        </w:tc>
        <w:tc>
          <w:tcPr>
            <w:tcW w:w="1908" w:type="dxa"/>
            <w:tcBorders>
              <w:top w:val="single" w:color="auto" w:sz="4" w:space="0"/>
              <w:left w:val="single" w:color="auto" w:sz="4" w:space="0"/>
              <w:bottom w:val="single" w:color="auto" w:sz="4" w:space="0"/>
              <w:right w:val="single" w:color="auto" w:sz="4" w:space="0"/>
              <w:tl2br w:val="nil"/>
              <w:tr2bl w:val="nil"/>
            </w:tcBorders>
            <w:noWrap w:val="0"/>
            <w:vAlign w:val="top"/>
          </w:tcPr>
          <w:p w14:paraId="79410D8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语言组织表达能力强，理解</w:t>
            </w:r>
            <w:r>
              <w:rPr>
                <w:rFonts w:hint="eastAsia" w:ascii="宋体" w:hAnsi="宋体" w:eastAsia="宋体" w:cs="宋体"/>
                <w:color w:val="auto"/>
                <w:sz w:val="21"/>
                <w:szCs w:val="21"/>
                <w:lang w:val="en-US" w:eastAsia="zh-CN"/>
              </w:rPr>
              <w:t>套色木刻</w:t>
            </w:r>
            <w:r>
              <w:rPr>
                <w:rFonts w:hint="eastAsia" w:ascii="宋体" w:hAnsi="宋体" w:eastAsia="宋体" w:cs="宋体"/>
                <w:color w:val="auto"/>
                <w:sz w:val="21"/>
                <w:szCs w:val="21"/>
              </w:rPr>
              <w:t>基本理论，思路清晰，主次分明，教师角色佳。</w:t>
            </w:r>
          </w:p>
        </w:tc>
        <w:tc>
          <w:tcPr>
            <w:tcW w:w="1918" w:type="dxa"/>
            <w:tcBorders>
              <w:top w:val="single" w:color="auto" w:sz="4" w:space="0"/>
              <w:left w:val="single" w:color="auto" w:sz="4" w:space="0"/>
              <w:bottom w:val="single" w:color="auto" w:sz="4" w:space="0"/>
              <w:right w:val="single" w:color="auto" w:sz="4" w:space="0"/>
              <w:tl2br w:val="nil"/>
              <w:tr2bl w:val="nil"/>
            </w:tcBorders>
            <w:noWrap w:val="0"/>
            <w:vAlign w:val="top"/>
          </w:tcPr>
          <w:p w14:paraId="1F75F036">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语言组织能力一般，理解</w:t>
            </w:r>
            <w:r>
              <w:rPr>
                <w:rFonts w:hint="eastAsia" w:ascii="宋体" w:hAnsi="宋体" w:eastAsia="宋体" w:cs="宋体"/>
                <w:color w:val="auto"/>
                <w:sz w:val="21"/>
                <w:szCs w:val="21"/>
                <w:lang w:val="en-US" w:eastAsia="zh-CN"/>
              </w:rPr>
              <w:t>太色木刻</w:t>
            </w:r>
            <w:r>
              <w:rPr>
                <w:rFonts w:hint="eastAsia" w:ascii="宋体" w:hAnsi="宋体" w:eastAsia="宋体" w:cs="宋体"/>
                <w:color w:val="auto"/>
                <w:sz w:val="21"/>
                <w:szCs w:val="21"/>
              </w:rPr>
              <w:t>基本理论，思路不够清晰。教师基本角色特征较好。</w:t>
            </w:r>
          </w:p>
        </w:tc>
        <w:tc>
          <w:tcPr>
            <w:tcW w:w="1703" w:type="dxa"/>
            <w:tcBorders>
              <w:top w:val="single" w:color="auto" w:sz="4" w:space="0"/>
              <w:left w:val="single" w:color="auto" w:sz="4" w:space="0"/>
              <w:bottom w:val="single" w:color="auto" w:sz="4" w:space="0"/>
              <w:right w:val="single" w:color="auto" w:sz="4" w:space="0"/>
              <w:tl2br w:val="nil"/>
              <w:tr2bl w:val="nil"/>
            </w:tcBorders>
            <w:noWrap w:val="0"/>
            <w:vAlign w:val="top"/>
          </w:tcPr>
          <w:p w14:paraId="6B8287B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宋体" w:hAnsi="宋体" w:eastAsia="宋体" w:cs="宋体"/>
                <w:color w:val="auto"/>
                <w:sz w:val="21"/>
                <w:szCs w:val="21"/>
              </w:rPr>
              <w:t>语言组织能力</w:t>
            </w:r>
            <w:r>
              <w:rPr>
                <w:rFonts w:hint="eastAsia" w:ascii="宋体" w:hAnsi="宋体" w:eastAsia="宋体" w:cs="宋体"/>
                <w:color w:val="auto"/>
                <w:sz w:val="21"/>
                <w:szCs w:val="21"/>
                <w:lang w:val="en-US" w:eastAsia="zh-CN"/>
              </w:rPr>
              <w:t>弱</w:t>
            </w:r>
            <w:r>
              <w:rPr>
                <w:rFonts w:hint="eastAsia" w:ascii="宋体" w:hAnsi="宋体" w:eastAsia="宋体" w:cs="宋体"/>
                <w:color w:val="auto"/>
                <w:sz w:val="21"/>
                <w:szCs w:val="21"/>
              </w:rPr>
              <w:t>，理解</w:t>
            </w:r>
            <w:r>
              <w:rPr>
                <w:rFonts w:hint="eastAsia" w:ascii="宋体" w:hAnsi="宋体" w:eastAsia="宋体" w:cs="宋体"/>
                <w:color w:val="auto"/>
                <w:sz w:val="21"/>
                <w:szCs w:val="21"/>
                <w:lang w:val="en-US" w:eastAsia="zh-CN"/>
              </w:rPr>
              <w:t>套色</w:t>
            </w:r>
            <w:r>
              <w:rPr>
                <w:rFonts w:hint="eastAsia" w:ascii="宋体" w:hAnsi="宋体" w:eastAsia="宋体" w:cs="宋体"/>
                <w:color w:val="auto"/>
                <w:sz w:val="21"/>
                <w:szCs w:val="21"/>
              </w:rPr>
              <w:t>基本理论，思路不清晰。教师基本角色特征较</w:t>
            </w:r>
            <w:r>
              <w:rPr>
                <w:rFonts w:hint="eastAsia" w:ascii="宋体" w:hAnsi="宋体" w:eastAsia="宋体" w:cs="宋体"/>
                <w:color w:val="auto"/>
                <w:sz w:val="21"/>
                <w:szCs w:val="21"/>
                <w:lang w:val="en-US" w:eastAsia="zh-CN"/>
              </w:rPr>
              <w:t>弱</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p>
        </w:tc>
        <w:tc>
          <w:tcPr>
            <w:tcW w:w="1919" w:type="dxa"/>
            <w:tcBorders>
              <w:top w:val="single" w:color="auto" w:sz="4" w:space="0"/>
              <w:left w:val="single" w:color="auto" w:sz="4" w:space="0"/>
              <w:bottom w:val="single" w:color="auto" w:sz="4" w:space="0"/>
              <w:right w:val="single" w:color="auto" w:sz="4" w:space="0"/>
              <w:tl2br w:val="nil"/>
              <w:tr2bl w:val="nil"/>
            </w:tcBorders>
            <w:noWrap w:val="0"/>
            <w:vAlign w:val="top"/>
          </w:tcPr>
          <w:p w14:paraId="3C8EABB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语言缺乏表达能力。忽视</w:t>
            </w:r>
            <w:r>
              <w:rPr>
                <w:rFonts w:hint="eastAsia" w:ascii="宋体" w:hAnsi="宋体" w:eastAsia="宋体" w:cs="宋体"/>
                <w:color w:val="auto"/>
                <w:sz w:val="21"/>
                <w:szCs w:val="21"/>
                <w:lang w:val="en-US" w:eastAsia="zh-CN"/>
              </w:rPr>
              <w:t>套色木刻</w:t>
            </w:r>
            <w:r>
              <w:rPr>
                <w:rFonts w:hint="eastAsia" w:ascii="宋体" w:hAnsi="宋体" w:eastAsia="宋体" w:cs="宋体"/>
                <w:color w:val="auto"/>
                <w:sz w:val="21"/>
                <w:szCs w:val="21"/>
              </w:rPr>
              <w:t>理论实践应用环节，线索不清。</w:t>
            </w:r>
          </w:p>
        </w:tc>
        <w:tc>
          <w:tcPr>
            <w:tcW w:w="1937" w:type="dxa"/>
            <w:tcBorders>
              <w:top w:val="single" w:color="auto" w:sz="4" w:space="0"/>
              <w:left w:val="single" w:color="auto" w:sz="4" w:space="0"/>
              <w:bottom w:val="single" w:color="auto" w:sz="4" w:space="0"/>
              <w:right w:val="single" w:color="auto" w:sz="4" w:space="0"/>
              <w:tl2br w:val="nil"/>
              <w:tr2bl w:val="nil"/>
            </w:tcBorders>
            <w:noWrap w:val="0"/>
            <w:vAlign w:val="top"/>
          </w:tcPr>
          <w:p w14:paraId="66F26EA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Times New Roman" w:cs="Times New Roman"/>
                <w:color w:val="auto"/>
                <w:sz w:val="21"/>
                <w:szCs w:val="21"/>
              </w:rPr>
              <w:t>表达能力差，思路不清，无教师基本角色特征。</w:t>
            </w:r>
          </w:p>
        </w:tc>
      </w:tr>
    </w:tbl>
    <w:p w14:paraId="090E8929">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③</w:t>
      </w:r>
      <w:r>
        <w:rPr>
          <w:rFonts w:hint="eastAsia" w:ascii="明黑等宽" w:eastAsia="明黑等宽"/>
          <w:b/>
          <w:color w:val="auto"/>
          <w:sz w:val="24"/>
          <w:szCs w:val="22"/>
        </w:rPr>
        <w:t>课堂写生实践创作（70分）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进行的</w:t>
      </w:r>
      <w:r>
        <w:rPr>
          <w:rFonts w:hint="eastAsia" w:hAnsi="宋体"/>
          <w:color w:val="auto"/>
          <w:sz w:val="24"/>
          <w:szCs w:val="24"/>
          <w:lang w:val="en-US" w:eastAsia="zh-CN"/>
        </w:rPr>
        <w:t>套色木刻临摹</w:t>
      </w:r>
      <w:r>
        <w:rPr>
          <w:rFonts w:hint="eastAsia" w:hAnsi="宋体"/>
          <w:color w:val="auto"/>
          <w:sz w:val="24"/>
          <w:szCs w:val="24"/>
          <w:lang w:val="zh-TW" w:eastAsia="zh-TW"/>
        </w:rPr>
        <w:t>，画面完成质量</w:t>
      </w:r>
      <w:r>
        <w:rPr>
          <w:rFonts w:hint="eastAsia" w:hAnsi="宋体"/>
          <w:color w:val="auto"/>
          <w:sz w:val="24"/>
          <w:szCs w:val="24"/>
          <w:lang w:val="en-US" w:eastAsia="zh-CN"/>
        </w:rPr>
        <w:t>高</w:t>
      </w:r>
      <w:r>
        <w:rPr>
          <w:rFonts w:hint="eastAsia" w:hAnsi="宋体"/>
          <w:color w:val="auto"/>
          <w:sz w:val="24"/>
          <w:szCs w:val="24"/>
          <w:lang w:val="zh-TW" w:eastAsia="zh-TW"/>
        </w:rPr>
        <w:t>、理解本课程的程度</w:t>
      </w:r>
      <w:r>
        <w:rPr>
          <w:rFonts w:hint="eastAsia" w:hAnsi="宋体"/>
          <w:color w:val="auto"/>
          <w:sz w:val="24"/>
          <w:szCs w:val="24"/>
          <w:lang w:val="en-US" w:eastAsia="zh-CN"/>
        </w:rPr>
        <w:t>好</w:t>
      </w:r>
      <w:r>
        <w:rPr>
          <w:rFonts w:hint="eastAsia" w:hAnsi="宋体"/>
          <w:color w:val="auto"/>
          <w:sz w:val="24"/>
          <w:szCs w:val="24"/>
          <w:lang w:val="zh-TW" w:eastAsia="zh-TW"/>
        </w:rPr>
        <w:t>，考核学生</w:t>
      </w:r>
      <w:r>
        <w:rPr>
          <w:rFonts w:hint="eastAsia" w:hAnsi="宋体"/>
          <w:color w:val="auto"/>
          <w:sz w:val="24"/>
          <w:szCs w:val="24"/>
          <w:lang w:val="en-US" w:eastAsia="zh-CN"/>
        </w:rPr>
        <w:t>套色木刻</w:t>
      </w:r>
      <w:r>
        <w:rPr>
          <w:rFonts w:hint="eastAsia" w:hAnsi="宋体"/>
          <w:color w:val="auto"/>
          <w:sz w:val="24"/>
          <w:szCs w:val="24"/>
          <w:lang w:val="zh-TW" w:eastAsia="zh-TW"/>
        </w:rPr>
        <w:t>的构图、</w:t>
      </w:r>
      <w:r>
        <w:rPr>
          <w:rFonts w:hint="eastAsia" w:hAnsi="宋体"/>
          <w:color w:val="auto"/>
          <w:sz w:val="24"/>
          <w:szCs w:val="24"/>
          <w:lang w:val="en-US" w:eastAsia="zh-CN"/>
        </w:rPr>
        <w:t>形式美感、版画</w:t>
      </w:r>
      <w:r>
        <w:rPr>
          <w:rFonts w:hint="eastAsia" w:hAnsi="宋体"/>
          <w:color w:val="auto"/>
          <w:sz w:val="24"/>
          <w:szCs w:val="24"/>
          <w:lang w:val="zh-TW" w:eastAsia="zh-TW"/>
        </w:rPr>
        <w:t>色调、</w:t>
      </w:r>
      <w:r>
        <w:rPr>
          <w:rFonts w:hint="eastAsia" w:hAnsi="宋体"/>
          <w:color w:val="auto"/>
          <w:sz w:val="24"/>
          <w:szCs w:val="24"/>
          <w:lang w:val="en-US" w:eastAsia="zh-CN"/>
        </w:rPr>
        <w:t>造型能力</w:t>
      </w:r>
      <w:r>
        <w:rPr>
          <w:rFonts w:hint="eastAsia" w:hAnsi="宋体"/>
          <w:color w:val="auto"/>
          <w:sz w:val="24"/>
          <w:szCs w:val="24"/>
          <w:lang w:val="zh-TW" w:eastAsia="zh-TW"/>
        </w:rPr>
        <w:t>、审美</w:t>
      </w:r>
      <w:r>
        <w:rPr>
          <w:rFonts w:hint="eastAsia" w:hAnsi="宋体"/>
          <w:color w:val="auto"/>
          <w:sz w:val="24"/>
          <w:szCs w:val="24"/>
          <w:lang w:val="en-US" w:eastAsia="zh-CN"/>
        </w:rPr>
        <w:t>水平</w:t>
      </w:r>
      <w:r>
        <w:rPr>
          <w:rFonts w:hint="eastAsia" w:hAnsi="宋体"/>
          <w:color w:val="auto"/>
          <w:sz w:val="24"/>
          <w:szCs w:val="24"/>
          <w:lang w:val="zh-TW" w:eastAsia="zh-TW"/>
        </w:rPr>
        <w:t>掌握情况。</w:t>
      </w:r>
    </w:p>
    <w:tbl>
      <w:tblPr>
        <w:tblStyle w:val="11"/>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130"/>
        <w:gridCol w:w="1876"/>
        <w:gridCol w:w="1647"/>
        <w:gridCol w:w="1877"/>
        <w:gridCol w:w="1356"/>
      </w:tblGrid>
      <w:tr w14:paraId="42F6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 w:type="dxa"/>
            <w:tcBorders>
              <w:top w:val="single" w:color="auto" w:sz="4" w:space="0"/>
              <w:left w:val="single" w:color="auto" w:sz="4" w:space="0"/>
              <w:bottom w:val="single" w:color="auto" w:sz="4" w:space="0"/>
              <w:right w:val="single" w:color="auto" w:sz="4" w:space="0"/>
              <w:tl2br w:val="nil"/>
              <w:tr2bl w:val="nil"/>
            </w:tcBorders>
            <w:noWrap w:val="0"/>
            <w:vAlign w:val="top"/>
          </w:tcPr>
          <w:p w14:paraId="103CB57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项目</w:t>
            </w:r>
            <w:r>
              <w:rPr>
                <w:rFonts w:hint="default" w:ascii="Times New Roman" w:cs="Times New Roman"/>
                <w:color w:val="auto"/>
                <w:sz w:val="21"/>
                <w:szCs w:val="21"/>
              </w:rPr>
              <w:t>/</w:t>
            </w:r>
            <w:r>
              <w:rPr>
                <w:rFonts w:hint="eastAsia" w:ascii="Times New Roman" w:cs="Times New Roman"/>
                <w:color w:val="auto"/>
                <w:sz w:val="21"/>
                <w:szCs w:val="21"/>
              </w:rPr>
              <w:t>分值</w:t>
            </w:r>
          </w:p>
        </w:tc>
        <w:tc>
          <w:tcPr>
            <w:tcW w:w="21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80754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90</w:t>
            </w:r>
            <w:r>
              <w:rPr>
                <w:rFonts w:hint="eastAsia" w:ascii="Times New Roman" w:cs="Times New Roman"/>
                <w:color w:val="auto"/>
                <w:sz w:val="21"/>
                <w:szCs w:val="21"/>
                <w:lang w:val="en-US" w:eastAsia="zh-CN"/>
              </w:rPr>
              <w:t>-</w:t>
            </w:r>
            <w:r>
              <w:rPr>
                <w:rFonts w:hint="default" w:ascii="Times New Roman" w:cs="Times New Roman"/>
                <w:color w:val="auto"/>
                <w:sz w:val="21"/>
                <w:szCs w:val="21"/>
              </w:rPr>
              <w:t>100</w:t>
            </w:r>
            <w:r>
              <w:rPr>
                <w:rFonts w:hint="eastAsia" w:ascii="Times New Roman" w:cs="Times New Roman"/>
                <w:color w:val="auto"/>
                <w:sz w:val="21"/>
                <w:szCs w:val="21"/>
              </w:rPr>
              <w:t>分</w:t>
            </w:r>
          </w:p>
        </w:tc>
        <w:tc>
          <w:tcPr>
            <w:tcW w:w="187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F5A27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80</w:t>
            </w:r>
            <w:r>
              <w:rPr>
                <w:rFonts w:hint="default" w:ascii="Times New Roman" w:cs="Times New Roman"/>
                <w:color w:val="auto"/>
                <w:sz w:val="21"/>
                <w:szCs w:val="21"/>
              </w:rPr>
              <w:t>-89</w:t>
            </w:r>
            <w:r>
              <w:rPr>
                <w:rFonts w:hint="eastAsia" w:ascii="Times New Roman" w:cs="Times New Roman"/>
                <w:color w:val="auto"/>
                <w:sz w:val="21"/>
                <w:szCs w:val="21"/>
              </w:rPr>
              <w:t>分</w:t>
            </w:r>
          </w:p>
        </w:tc>
        <w:tc>
          <w:tcPr>
            <w:tcW w:w="16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A4F92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lang w:val="en-US" w:eastAsia="zh-CN"/>
              </w:rPr>
            </w:pPr>
            <w:r>
              <w:rPr>
                <w:rFonts w:hint="eastAsia" w:ascii="Times New Roman" w:cs="Times New Roman"/>
                <w:color w:val="auto"/>
                <w:sz w:val="21"/>
                <w:szCs w:val="21"/>
                <w:lang w:val="en-US" w:eastAsia="zh-CN"/>
              </w:rPr>
              <w:t>70-79分</w:t>
            </w:r>
          </w:p>
        </w:tc>
        <w:tc>
          <w:tcPr>
            <w:tcW w:w="18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B76B2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60-</w:t>
            </w:r>
            <w:r>
              <w:rPr>
                <w:rFonts w:hint="eastAsia" w:ascii="Times New Roman" w:cs="Times New Roman"/>
                <w:color w:val="auto"/>
                <w:sz w:val="21"/>
                <w:szCs w:val="21"/>
                <w:lang w:val="en-US" w:eastAsia="zh-CN"/>
              </w:rPr>
              <w:t>69</w:t>
            </w:r>
            <w:r>
              <w:rPr>
                <w:rFonts w:hint="eastAsia" w:ascii="Times New Roman" w:cs="Times New Roman"/>
                <w:color w:val="auto"/>
                <w:sz w:val="21"/>
                <w:szCs w:val="21"/>
              </w:rPr>
              <w:t>分</w:t>
            </w:r>
          </w:p>
        </w:tc>
        <w:tc>
          <w:tcPr>
            <w:tcW w:w="13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BA6B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0-59</w:t>
            </w:r>
            <w:r>
              <w:rPr>
                <w:rFonts w:hint="eastAsia" w:ascii="Times New Roman" w:cs="Times New Roman"/>
                <w:color w:val="auto"/>
                <w:sz w:val="21"/>
                <w:szCs w:val="21"/>
              </w:rPr>
              <w:t>分</w:t>
            </w:r>
          </w:p>
        </w:tc>
      </w:tr>
      <w:tr w14:paraId="68C4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l2br w:val="nil"/>
              <w:tr2bl w:val="nil"/>
            </w:tcBorders>
            <w:noWrap w:val="0"/>
            <w:vAlign w:val="top"/>
          </w:tcPr>
          <w:p w14:paraId="66245B8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理论转化</w:t>
            </w:r>
          </w:p>
        </w:tc>
        <w:tc>
          <w:tcPr>
            <w:tcW w:w="2130" w:type="dxa"/>
            <w:tcBorders>
              <w:top w:val="single" w:color="auto" w:sz="4" w:space="0"/>
              <w:left w:val="single" w:color="auto" w:sz="4" w:space="0"/>
              <w:bottom w:val="single" w:color="auto" w:sz="4" w:space="0"/>
              <w:right w:val="single" w:color="auto" w:sz="4" w:space="0"/>
              <w:tl2br w:val="nil"/>
              <w:tr2bl w:val="nil"/>
            </w:tcBorders>
            <w:noWrap w:val="0"/>
            <w:vAlign w:val="top"/>
          </w:tcPr>
          <w:p w14:paraId="23EFEC5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套色木刻知识</w:t>
            </w:r>
            <w:r>
              <w:rPr>
                <w:rFonts w:hint="eastAsia" w:ascii="Times New Roman" w:cs="Times New Roman"/>
                <w:color w:val="auto"/>
                <w:sz w:val="21"/>
                <w:szCs w:val="21"/>
              </w:rPr>
              <w:t>理解好，</w:t>
            </w:r>
            <w:r>
              <w:rPr>
                <w:rFonts w:hint="eastAsia" w:ascii="Times New Roman" w:cs="Times New Roman"/>
                <w:color w:val="auto"/>
                <w:sz w:val="21"/>
                <w:szCs w:val="21"/>
                <w:lang w:val="en-US" w:eastAsia="zh-CN"/>
              </w:rPr>
              <w:t>题材</w:t>
            </w:r>
            <w:r>
              <w:rPr>
                <w:rFonts w:hint="eastAsia" w:ascii="Times New Roman" w:cs="Times New Roman"/>
                <w:color w:val="auto"/>
                <w:sz w:val="21"/>
                <w:szCs w:val="21"/>
              </w:rPr>
              <w:t>、</w:t>
            </w:r>
            <w:r>
              <w:rPr>
                <w:rFonts w:hint="eastAsia" w:ascii="Times New Roman" w:cs="Times New Roman"/>
                <w:color w:val="auto"/>
                <w:sz w:val="21"/>
                <w:szCs w:val="21"/>
                <w:lang w:val="en-US" w:eastAsia="zh-CN"/>
              </w:rPr>
              <w:t>风格</w:t>
            </w:r>
            <w:r>
              <w:rPr>
                <w:rFonts w:hint="eastAsia" w:ascii="Times New Roman" w:cs="Times New Roman"/>
                <w:color w:val="auto"/>
                <w:sz w:val="21"/>
                <w:szCs w:val="21"/>
              </w:rPr>
              <w:t>、</w:t>
            </w:r>
            <w:r>
              <w:rPr>
                <w:rFonts w:hint="eastAsia" w:ascii="Times New Roman" w:cs="Times New Roman"/>
                <w:color w:val="auto"/>
                <w:sz w:val="21"/>
                <w:szCs w:val="21"/>
                <w:lang w:val="en-US" w:eastAsia="zh-CN"/>
              </w:rPr>
              <w:t>形式</w:t>
            </w:r>
            <w:r>
              <w:rPr>
                <w:rFonts w:hint="eastAsia" w:ascii="Times New Roman" w:cs="Times New Roman"/>
                <w:color w:val="auto"/>
                <w:sz w:val="21"/>
                <w:szCs w:val="21"/>
              </w:rPr>
              <w:t>、</w:t>
            </w:r>
            <w:r>
              <w:rPr>
                <w:rFonts w:hint="eastAsia" w:ascii="Times New Roman" w:cs="Times New Roman"/>
                <w:color w:val="auto"/>
                <w:sz w:val="21"/>
                <w:szCs w:val="21"/>
                <w:lang w:val="en-US" w:eastAsia="zh-CN"/>
              </w:rPr>
              <w:t>技法</w:t>
            </w:r>
            <w:r>
              <w:rPr>
                <w:rFonts w:hint="eastAsia" w:ascii="Times New Roman" w:cs="Times New Roman"/>
                <w:color w:val="auto"/>
                <w:sz w:val="21"/>
                <w:szCs w:val="21"/>
              </w:rPr>
              <w:t>佳。画面有秩序、节奏表达</w:t>
            </w:r>
            <w:r>
              <w:rPr>
                <w:rFonts w:hint="eastAsia" w:ascii="Times New Roman" w:cs="Times New Roman"/>
                <w:color w:val="auto"/>
                <w:sz w:val="21"/>
                <w:szCs w:val="21"/>
                <w:lang w:eastAsia="zh-CN"/>
              </w:rPr>
              <w:t>。</w:t>
            </w:r>
          </w:p>
        </w:tc>
        <w:tc>
          <w:tcPr>
            <w:tcW w:w="1876" w:type="dxa"/>
            <w:tcBorders>
              <w:top w:val="single" w:color="auto" w:sz="4" w:space="0"/>
              <w:left w:val="single" w:color="auto" w:sz="4" w:space="0"/>
              <w:bottom w:val="single" w:color="auto" w:sz="4" w:space="0"/>
              <w:right w:val="single" w:color="auto" w:sz="4" w:space="0"/>
              <w:tl2br w:val="nil"/>
              <w:tr2bl w:val="nil"/>
            </w:tcBorders>
            <w:noWrap w:val="0"/>
            <w:vAlign w:val="top"/>
          </w:tcPr>
          <w:p w14:paraId="579B8F5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w:t>
            </w:r>
            <w:r>
              <w:rPr>
                <w:rFonts w:hint="eastAsia" w:ascii="Times New Roman" w:cs="Times New Roman"/>
                <w:color w:val="auto"/>
                <w:sz w:val="21"/>
                <w:szCs w:val="21"/>
              </w:rPr>
              <w:t>理论运用较好，</w:t>
            </w:r>
            <w:r>
              <w:rPr>
                <w:rFonts w:hint="eastAsia" w:ascii="Times New Roman" w:cs="Times New Roman"/>
                <w:color w:val="auto"/>
                <w:sz w:val="21"/>
                <w:szCs w:val="21"/>
                <w:lang w:val="en-US" w:eastAsia="zh-CN"/>
              </w:rPr>
              <w:t>题材</w:t>
            </w:r>
            <w:r>
              <w:rPr>
                <w:rFonts w:hint="eastAsia" w:ascii="Times New Roman" w:cs="Times New Roman"/>
                <w:color w:val="auto"/>
                <w:sz w:val="21"/>
                <w:szCs w:val="21"/>
              </w:rPr>
              <w:t>构图处理能力强，思考较深入。</w:t>
            </w:r>
          </w:p>
        </w:tc>
        <w:tc>
          <w:tcPr>
            <w:tcW w:w="1647" w:type="dxa"/>
            <w:tcBorders>
              <w:top w:val="single" w:color="auto" w:sz="4" w:space="0"/>
              <w:left w:val="single" w:color="auto" w:sz="4" w:space="0"/>
              <w:bottom w:val="single" w:color="auto" w:sz="4" w:space="0"/>
              <w:right w:val="single" w:color="auto" w:sz="4" w:space="0"/>
              <w:tl2br w:val="nil"/>
              <w:tr2bl w:val="nil"/>
            </w:tcBorders>
            <w:noWrap w:val="0"/>
            <w:vAlign w:val="top"/>
          </w:tcPr>
          <w:p w14:paraId="7333435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套色</w:t>
            </w:r>
            <w:r>
              <w:rPr>
                <w:rFonts w:hint="eastAsia" w:ascii="Times New Roman" w:cs="Times New Roman"/>
                <w:color w:val="auto"/>
                <w:sz w:val="21"/>
                <w:szCs w:val="21"/>
              </w:rPr>
              <w:t>木刻</w:t>
            </w:r>
            <w:r>
              <w:rPr>
                <w:rFonts w:hint="eastAsia" w:ascii="Times New Roman" w:cs="Times New Roman"/>
                <w:color w:val="auto"/>
                <w:sz w:val="21"/>
                <w:szCs w:val="21"/>
                <w:lang w:val="en-US" w:eastAsia="zh-CN"/>
              </w:rPr>
              <w:t xml:space="preserve"> </w:t>
            </w:r>
            <w:r>
              <w:rPr>
                <w:rFonts w:hint="eastAsia" w:ascii="Times New Roman" w:cs="Times New Roman"/>
                <w:color w:val="auto"/>
                <w:sz w:val="21"/>
                <w:szCs w:val="21"/>
              </w:rPr>
              <w:t>理论运用较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，构图处理能力</w:t>
            </w:r>
            <w:r>
              <w:rPr>
                <w:rFonts w:hint="eastAsia" w:ascii="Times New Roman" w:cs="Times New Roman"/>
                <w:color w:val="auto"/>
                <w:sz w:val="21"/>
                <w:szCs w:val="21"/>
                <w:lang w:val="en-US" w:eastAsia="zh-CN"/>
              </w:rPr>
              <w:t>弱</w:t>
            </w:r>
            <w:r>
              <w:rPr>
                <w:rFonts w:hint="eastAsia" w:ascii="Times New Roman" w:cs="Times New Roman"/>
                <w:color w:val="auto"/>
                <w:sz w:val="21"/>
                <w:szCs w:val="21"/>
              </w:rPr>
              <w:t>，思考较深入。</w:t>
            </w:r>
          </w:p>
        </w:tc>
        <w:tc>
          <w:tcPr>
            <w:tcW w:w="1877" w:type="dxa"/>
            <w:tcBorders>
              <w:top w:val="single" w:color="auto" w:sz="4" w:space="0"/>
              <w:left w:val="single" w:color="auto" w:sz="4" w:space="0"/>
              <w:bottom w:val="single" w:color="auto" w:sz="4" w:space="0"/>
              <w:right w:val="single" w:color="auto" w:sz="4" w:space="0"/>
              <w:tl2br w:val="nil"/>
              <w:tr2bl w:val="nil"/>
            </w:tcBorders>
            <w:noWrap w:val="0"/>
            <w:vAlign w:val="top"/>
          </w:tcPr>
          <w:p w14:paraId="270BDA1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w:t>
            </w:r>
            <w:r>
              <w:rPr>
                <w:rFonts w:hint="eastAsia" w:ascii="Times New Roman" w:cs="Times New Roman"/>
                <w:color w:val="auto"/>
                <w:sz w:val="21"/>
                <w:szCs w:val="21"/>
              </w:rPr>
              <w:t>理论运用转</w:t>
            </w:r>
            <w:r>
              <w:rPr>
                <w:rFonts w:hint="eastAsia" w:ascii="Times New Roman" w:cs="Times New Roman"/>
                <w:color w:val="auto"/>
                <w:sz w:val="21"/>
                <w:szCs w:val="21"/>
                <w:lang w:val="en-US" w:eastAsia="zh-CN"/>
              </w:rPr>
              <w:t>化</w:t>
            </w:r>
            <w:r>
              <w:rPr>
                <w:rFonts w:hint="eastAsia" w:ascii="Times New Roman" w:cs="Times New Roman"/>
                <w:color w:val="auto"/>
                <w:sz w:val="21"/>
                <w:szCs w:val="21"/>
              </w:rPr>
              <w:t>差，</w:t>
            </w:r>
            <w:r>
              <w:rPr>
                <w:rFonts w:hint="eastAsia" w:ascii="Times New Roman" w:cs="Times New Roman"/>
                <w:color w:val="auto"/>
                <w:sz w:val="21"/>
                <w:szCs w:val="21"/>
                <w:lang w:val="en-US" w:eastAsia="zh-CN"/>
              </w:rPr>
              <w:t>对风格技法有所</w:t>
            </w:r>
            <w:r>
              <w:rPr>
                <w:rFonts w:hint="eastAsia" w:ascii="Times New Roman" w:cs="Times New Roman"/>
                <w:color w:val="auto"/>
                <w:sz w:val="21"/>
                <w:szCs w:val="21"/>
              </w:rPr>
              <w:t>理解，有一定的</w:t>
            </w:r>
            <w:r>
              <w:rPr>
                <w:rFonts w:hint="eastAsia" w:ascii="Times New Roman" w:cs="Times New Roman"/>
                <w:color w:val="auto"/>
                <w:sz w:val="21"/>
                <w:szCs w:val="21"/>
                <w:lang w:val="en-US" w:eastAsia="zh-CN"/>
              </w:rPr>
              <w:t>版画语言</w:t>
            </w:r>
            <w:r>
              <w:rPr>
                <w:rFonts w:hint="eastAsia" w:ascii="Times New Roman" w:cs="Times New Roman"/>
                <w:color w:val="auto"/>
                <w:sz w:val="21"/>
                <w:szCs w:val="21"/>
              </w:rPr>
              <w:t>表达</w:t>
            </w:r>
            <w:r>
              <w:rPr>
                <w:rFonts w:hint="eastAsia" w:ascii="Times New Roman" w:cs="Times New Roman"/>
                <w:color w:val="auto"/>
                <w:sz w:val="21"/>
                <w:szCs w:val="21"/>
                <w:lang w:val="en-US" w:eastAsia="zh-CN"/>
              </w:rPr>
              <w:t>能力</w:t>
            </w:r>
            <w:r>
              <w:rPr>
                <w:rFonts w:hint="eastAsia" w:ascii="Times New Roman" w:cs="Times New Roman"/>
                <w:color w:val="auto"/>
                <w:sz w:val="21"/>
                <w:szCs w:val="21"/>
              </w:rPr>
              <w:t>。</w:t>
            </w:r>
          </w:p>
        </w:tc>
        <w:tc>
          <w:tcPr>
            <w:tcW w:w="1356" w:type="dxa"/>
            <w:tcBorders>
              <w:top w:val="single" w:color="auto" w:sz="4" w:space="0"/>
              <w:left w:val="single" w:color="auto" w:sz="4" w:space="0"/>
              <w:bottom w:val="single" w:color="auto" w:sz="4" w:space="0"/>
              <w:right w:val="single" w:color="auto" w:sz="4" w:space="0"/>
              <w:tl2br w:val="nil"/>
              <w:tr2bl w:val="nil"/>
            </w:tcBorders>
            <w:noWrap w:val="0"/>
            <w:vAlign w:val="top"/>
          </w:tcPr>
          <w:p w14:paraId="638353C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画面方向不明，材料特性掌握能力差，形态造型理解差。</w:t>
            </w:r>
          </w:p>
        </w:tc>
      </w:tr>
      <w:tr w14:paraId="4B06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l2br w:val="nil"/>
              <w:tr2bl w:val="nil"/>
            </w:tcBorders>
            <w:noWrap w:val="0"/>
            <w:vAlign w:val="top"/>
          </w:tcPr>
          <w:p w14:paraId="702C9643">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作品效果</w:t>
            </w:r>
          </w:p>
        </w:tc>
        <w:tc>
          <w:tcPr>
            <w:tcW w:w="2130" w:type="dxa"/>
            <w:tcBorders>
              <w:top w:val="single" w:color="auto" w:sz="4" w:space="0"/>
              <w:left w:val="single" w:color="auto" w:sz="4" w:space="0"/>
              <w:bottom w:val="single" w:color="auto" w:sz="4" w:space="0"/>
              <w:right w:val="single" w:color="auto" w:sz="4" w:space="0"/>
              <w:tl2br w:val="nil"/>
              <w:tr2bl w:val="nil"/>
            </w:tcBorders>
            <w:noWrap w:val="0"/>
            <w:vAlign w:val="top"/>
          </w:tcPr>
          <w:p w14:paraId="18553523">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w:t>
            </w:r>
            <w:r>
              <w:rPr>
                <w:rFonts w:hint="eastAsia" w:ascii="Times New Roman" w:cs="Times New Roman"/>
                <w:color w:val="auto"/>
                <w:sz w:val="21"/>
                <w:szCs w:val="21"/>
                <w:lang w:val="en-US" w:eastAsia="zh-CN"/>
              </w:rPr>
              <w:t>风格突出</w:t>
            </w:r>
            <w:r>
              <w:rPr>
                <w:rFonts w:hint="eastAsia" w:ascii="Times New Roman" w:cs="Times New Roman"/>
                <w:color w:val="auto"/>
                <w:sz w:val="21"/>
                <w:szCs w:val="21"/>
              </w:rPr>
              <w:t>，</w:t>
            </w:r>
            <w:r>
              <w:rPr>
                <w:rFonts w:hint="eastAsia" w:ascii="Times New Roman" w:cs="Times New Roman"/>
                <w:color w:val="auto"/>
                <w:sz w:val="21"/>
                <w:szCs w:val="21"/>
                <w:lang w:val="en-US" w:eastAsia="zh-CN"/>
              </w:rPr>
              <w:t>构图</w:t>
            </w:r>
            <w:r>
              <w:rPr>
                <w:rFonts w:hint="eastAsia" w:ascii="Times New Roman" w:cs="Times New Roman"/>
                <w:color w:val="auto"/>
                <w:sz w:val="21"/>
                <w:szCs w:val="21"/>
              </w:rPr>
              <w:t>恰当，主次分明，整体性好，技法熟练，有较好的审美表达能力</w:t>
            </w:r>
            <w:r>
              <w:rPr>
                <w:rFonts w:hint="eastAsia" w:ascii="Times New Roman" w:cs="Times New Roman"/>
                <w:color w:val="auto"/>
                <w:sz w:val="21"/>
                <w:szCs w:val="21"/>
                <w:lang w:eastAsia="zh-CN"/>
              </w:rPr>
              <w:t>，</w:t>
            </w:r>
            <w:r>
              <w:rPr>
                <w:rFonts w:hint="eastAsia" w:ascii="Times New Roman" w:cs="Times New Roman"/>
                <w:color w:val="auto"/>
                <w:sz w:val="21"/>
                <w:szCs w:val="21"/>
              </w:rPr>
              <w:t>有一定的语言特点。</w:t>
            </w:r>
          </w:p>
        </w:tc>
        <w:tc>
          <w:tcPr>
            <w:tcW w:w="1876" w:type="dxa"/>
            <w:tcBorders>
              <w:top w:val="single" w:color="auto" w:sz="4" w:space="0"/>
              <w:left w:val="single" w:color="auto" w:sz="4" w:space="0"/>
              <w:bottom w:val="single" w:color="auto" w:sz="4" w:space="0"/>
              <w:right w:val="single" w:color="auto" w:sz="4" w:space="0"/>
              <w:tl2br w:val="nil"/>
              <w:tr2bl w:val="nil"/>
            </w:tcBorders>
            <w:noWrap w:val="0"/>
            <w:vAlign w:val="top"/>
          </w:tcPr>
          <w:p w14:paraId="677D0D3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w:t>
            </w:r>
            <w:r>
              <w:rPr>
                <w:rFonts w:hint="eastAsia" w:ascii="Times New Roman" w:cs="Times New Roman"/>
                <w:color w:val="auto"/>
                <w:sz w:val="21"/>
                <w:szCs w:val="21"/>
              </w:rPr>
              <w:t>造型深入能力较好，整体关系较好，有一定的</w:t>
            </w:r>
            <w:r>
              <w:rPr>
                <w:rFonts w:hint="eastAsia" w:ascii="Times New Roman" w:cs="Times New Roman"/>
                <w:color w:val="auto"/>
                <w:sz w:val="21"/>
                <w:szCs w:val="21"/>
                <w:lang w:val="en-US" w:eastAsia="zh-CN"/>
              </w:rPr>
              <w:t>版画语言</w:t>
            </w:r>
            <w:r>
              <w:rPr>
                <w:rFonts w:hint="eastAsia" w:ascii="Times New Roman" w:cs="Times New Roman"/>
                <w:color w:val="auto"/>
                <w:sz w:val="21"/>
                <w:szCs w:val="21"/>
              </w:rPr>
              <w:t>能力，技法技巧较熟练。</w:t>
            </w:r>
          </w:p>
        </w:tc>
        <w:tc>
          <w:tcPr>
            <w:tcW w:w="1647" w:type="dxa"/>
            <w:tcBorders>
              <w:top w:val="single" w:color="auto" w:sz="4" w:space="0"/>
              <w:left w:val="single" w:color="auto" w:sz="4" w:space="0"/>
              <w:bottom w:val="single" w:color="auto" w:sz="4" w:space="0"/>
              <w:right w:val="single" w:color="auto" w:sz="4" w:space="0"/>
              <w:tl2br w:val="nil"/>
              <w:tr2bl w:val="nil"/>
            </w:tcBorders>
            <w:noWrap w:val="0"/>
            <w:vAlign w:val="top"/>
          </w:tcPr>
          <w:p w14:paraId="5CF3966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套色</w:t>
            </w:r>
            <w:r>
              <w:rPr>
                <w:rFonts w:hint="eastAsia" w:ascii="Times New Roman" w:cs="Times New Roman"/>
                <w:color w:val="auto"/>
                <w:sz w:val="21"/>
                <w:szCs w:val="21"/>
              </w:rPr>
              <w:t>木刻语言掌握较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，画面构图、</w:t>
            </w:r>
            <w:r>
              <w:rPr>
                <w:rFonts w:hint="eastAsia" w:ascii="Times New Roman" w:cs="Times New Roman"/>
                <w:color w:val="auto"/>
                <w:sz w:val="21"/>
                <w:szCs w:val="21"/>
                <w:lang w:val="en-US" w:eastAsia="zh-CN"/>
              </w:rPr>
              <w:t>色彩</w:t>
            </w:r>
            <w:r>
              <w:rPr>
                <w:rFonts w:hint="eastAsia" w:ascii="Times New Roman" w:cs="Times New Roman"/>
                <w:color w:val="auto"/>
                <w:sz w:val="21"/>
                <w:szCs w:val="21"/>
              </w:rPr>
              <w:t>分布、刀法运用整体关系</w:t>
            </w:r>
            <w:r>
              <w:rPr>
                <w:rFonts w:hint="eastAsia" w:ascii="Times New Roman" w:cs="Times New Roman"/>
                <w:color w:val="auto"/>
                <w:sz w:val="21"/>
                <w:szCs w:val="21"/>
                <w:lang w:val="en-US" w:eastAsia="zh-CN"/>
              </w:rPr>
              <w:t>混乱</w:t>
            </w:r>
            <w:r>
              <w:rPr>
                <w:rFonts w:hint="eastAsia" w:ascii="Times New Roman" w:cs="Times New Roman"/>
                <w:color w:val="auto"/>
                <w:sz w:val="21"/>
                <w:szCs w:val="21"/>
              </w:rPr>
              <w:t>， 技法</w:t>
            </w:r>
            <w:r>
              <w:rPr>
                <w:rFonts w:hint="eastAsia" w:ascii="Times New Roman" w:cs="Times New Roman"/>
                <w:color w:val="auto"/>
                <w:sz w:val="21"/>
                <w:szCs w:val="21"/>
                <w:lang w:val="en-US" w:eastAsia="zh-CN"/>
              </w:rPr>
              <w:t>不够</w:t>
            </w:r>
            <w:r>
              <w:rPr>
                <w:rFonts w:hint="eastAsia" w:ascii="Times New Roman" w:cs="Times New Roman"/>
                <w:color w:val="auto"/>
                <w:sz w:val="21"/>
                <w:szCs w:val="21"/>
              </w:rPr>
              <w:t>熟练。</w:t>
            </w:r>
          </w:p>
        </w:tc>
        <w:tc>
          <w:tcPr>
            <w:tcW w:w="1877" w:type="dxa"/>
            <w:tcBorders>
              <w:top w:val="single" w:color="auto" w:sz="4" w:space="0"/>
              <w:left w:val="single" w:color="auto" w:sz="4" w:space="0"/>
              <w:bottom w:val="single" w:color="auto" w:sz="4" w:space="0"/>
              <w:right w:val="single" w:color="auto" w:sz="4" w:space="0"/>
              <w:tl2br w:val="nil"/>
              <w:tr2bl w:val="nil"/>
            </w:tcBorders>
            <w:noWrap w:val="0"/>
            <w:vAlign w:val="top"/>
          </w:tcPr>
          <w:p w14:paraId="3F26E41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造型不准确，</w:t>
            </w:r>
            <w:r>
              <w:rPr>
                <w:rFonts w:hint="eastAsia" w:ascii="Times New Roman" w:cs="Times New Roman"/>
                <w:color w:val="auto"/>
                <w:sz w:val="21"/>
                <w:szCs w:val="21"/>
                <w:lang w:val="en-US" w:eastAsia="zh-CN"/>
              </w:rPr>
              <w:t>版画语言</w:t>
            </w:r>
            <w:r>
              <w:rPr>
                <w:rFonts w:hint="eastAsia" w:ascii="Times New Roman" w:cs="Times New Roman"/>
                <w:color w:val="auto"/>
                <w:sz w:val="21"/>
                <w:szCs w:val="21"/>
              </w:rPr>
              <w:t>表达不恰当，无深入表现能力，整体关系较差。</w:t>
            </w:r>
          </w:p>
        </w:tc>
        <w:tc>
          <w:tcPr>
            <w:tcW w:w="1356" w:type="dxa"/>
            <w:tcBorders>
              <w:top w:val="single" w:color="auto" w:sz="4" w:space="0"/>
              <w:left w:val="single" w:color="auto" w:sz="4" w:space="0"/>
              <w:bottom w:val="single" w:color="auto" w:sz="4" w:space="0"/>
              <w:right w:val="single" w:color="auto" w:sz="4" w:space="0"/>
              <w:tl2br w:val="nil"/>
              <w:tr2bl w:val="nil"/>
            </w:tcBorders>
            <w:noWrap w:val="0"/>
            <w:vAlign w:val="top"/>
          </w:tcPr>
          <w:p w14:paraId="48381DA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14:paraId="7D2B5DB3">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0" w:firstLineChars="200"/>
        <w:jc w:val="both"/>
        <w:textAlignment w:val="auto"/>
        <w:rPr>
          <w:rFonts w:hint="eastAsia" w:ascii="Times" w:hAnsi="Times" w:cs="Times"/>
          <w:color w:val="auto"/>
          <w:sz w:val="22"/>
          <w:szCs w:val="22"/>
        </w:rPr>
      </w:pPr>
    </w:p>
    <w:p w14:paraId="12066B14">
      <w:pPr>
        <w:autoSpaceDE w:val="0"/>
        <w:autoSpaceDN w:val="0"/>
        <w:adjustRightInd w:val="0"/>
        <w:snapToGrid w:val="0"/>
        <w:spacing w:line="400" w:lineRule="exact"/>
        <w:ind w:firstLine="482" w:firstLineChars="200"/>
        <w:jc w:val="left"/>
        <w:rPr>
          <w:rFonts w:hint="eastAsia" w:ascii="Times" w:hAnsi="Times" w:eastAsia="宋体" w:cs="Times"/>
          <w:b/>
          <w:kern w:val="0"/>
          <w:sz w:val="24"/>
          <w:szCs w:val="24"/>
          <w:lang w:val="en-US" w:eastAsia="zh-CN"/>
        </w:rPr>
      </w:pPr>
    </w:p>
    <w:p w14:paraId="1979FF5B">
      <w:pPr>
        <w:autoSpaceDE w:val="0"/>
        <w:autoSpaceDN w:val="0"/>
        <w:adjustRightInd w:val="0"/>
        <w:snapToGrid w:val="0"/>
        <w:spacing w:line="400" w:lineRule="exact"/>
        <w:ind w:firstLine="482" w:firstLineChars="200"/>
        <w:jc w:val="left"/>
        <w:rPr>
          <w:rFonts w:hint="default" w:ascii="Times" w:hAnsi="Times" w:eastAsia="宋体" w:cs="Times"/>
          <w:b/>
          <w:kern w:val="0"/>
          <w:sz w:val="24"/>
          <w:szCs w:val="24"/>
          <w:lang w:val="en-US"/>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r>
        <w:rPr>
          <w:rFonts w:hint="eastAsia" w:ascii="Times" w:hAnsi="Times" w:eastAsia="宋体" w:cs="Times"/>
          <w:b/>
          <w:color w:val="FF0000"/>
          <w:kern w:val="0"/>
          <w:sz w:val="24"/>
          <w:szCs w:val="24"/>
          <w:lang w:val="en-US" w:eastAsia="zh-CN"/>
        </w:rPr>
        <w:t xml:space="preserve"> </w:t>
      </w:r>
    </w:p>
    <w:p w14:paraId="0AA25EBD">
      <w:pPr>
        <w:snapToGrid w:val="0"/>
        <w:spacing w:line="400" w:lineRule="exact"/>
        <w:ind w:firstLine="480" w:firstLineChars="200"/>
        <w:jc w:val="both"/>
        <w:rPr>
          <w:rFonts w:hint="eastAsia" w:hAnsi="宋体"/>
          <w:color w:val="auto"/>
          <w:sz w:val="24"/>
          <w:szCs w:val="24"/>
          <w:lang w:val="en-US" w:eastAsia="zh-CN"/>
        </w:rPr>
      </w:pPr>
      <w:r>
        <w:rPr>
          <w:rFonts w:hint="eastAsia" w:hAnsi="宋体"/>
          <w:color w:val="auto"/>
          <w:sz w:val="24"/>
          <w:szCs w:val="24"/>
          <w:lang w:val="zh-TW" w:eastAsia="zh-TW"/>
        </w:rPr>
        <w:t>期末成绩的评定</w:t>
      </w:r>
      <w:r>
        <w:rPr>
          <w:rFonts w:hint="eastAsia" w:hAnsi="宋体"/>
          <w:color w:val="auto"/>
          <w:sz w:val="24"/>
          <w:szCs w:val="24"/>
          <w:lang w:val="en-US" w:eastAsia="zh-CN"/>
        </w:rPr>
        <w:t>根据“专业技能课程考试（查）审核表”执行，随堂临摹作品的制作过程情况和效果作为评定依据，考核内容为套色木刻临摹，要求作品画面完整、构图恰当，油画材料性能把握良好，工具使用方法得当，有较为扎实的色彩塑造能力</w:t>
      </w:r>
      <w:r>
        <w:rPr>
          <w:rFonts w:hint="eastAsia" w:hAnsi="宋体"/>
          <w:color w:val="auto"/>
          <w:sz w:val="24"/>
          <w:szCs w:val="24"/>
          <w:lang w:val="zh-TW" w:eastAsia="zh-CN"/>
        </w:rPr>
        <w:t>，</w:t>
      </w:r>
      <w:r>
        <w:rPr>
          <w:rFonts w:hint="eastAsia" w:hAnsi="宋体"/>
          <w:color w:val="auto"/>
          <w:sz w:val="24"/>
          <w:szCs w:val="24"/>
          <w:lang w:val="en-US" w:eastAsia="zh-CN"/>
        </w:rPr>
        <w:t>色彩理解力，色调把控力，具体期末成绩评定、考核方式由任课老师根据课程考核标准和要求具体明确。</w:t>
      </w:r>
    </w:p>
    <w:tbl>
      <w:tblPr>
        <w:tblStyle w:val="11"/>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130"/>
        <w:gridCol w:w="1876"/>
        <w:gridCol w:w="1647"/>
        <w:gridCol w:w="1877"/>
        <w:gridCol w:w="1356"/>
      </w:tblGrid>
      <w:tr w14:paraId="08B31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l2br w:val="nil"/>
              <w:tr2bl w:val="nil"/>
            </w:tcBorders>
            <w:noWrap w:val="0"/>
            <w:vAlign w:val="top"/>
          </w:tcPr>
          <w:p w14:paraId="77D7E877">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项目</w:t>
            </w:r>
            <w:r>
              <w:rPr>
                <w:rFonts w:hint="default" w:ascii="Times New Roman" w:cs="Times New Roman"/>
                <w:color w:val="auto"/>
                <w:sz w:val="21"/>
                <w:szCs w:val="21"/>
              </w:rPr>
              <w:t>/</w:t>
            </w:r>
            <w:r>
              <w:rPr>
                <w:rFonts w:hint="eastAsia" w:ascii="Times New Roman" w:cs="Times New Roman"/>
                <w:color w:val="auto"/>
                <w:sz w:val="21"/>
                <w:szCs w:val="21"/>
              </w:rPr>
              <w:t>分值</w:t>
            </w:r>
          </w:p>
        </w:tc>
        <w:tc>
          <w:tcPr>
            <w:tcW w:w="21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D4556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90</w:t>
            </w:r>
            <w:r>
              <w:rPr>
                <w:rFonts w:hint="eastAsia" w:ascii="Times New Roman" w:cs="Times New Roman"/>
                <w:color w:val="auto"/>
                <w:sz w:val="21"/>
                <w:szCs w:val="21"/>
                <w:lang w:val="en-US" w:eastAsia="zh-CN"/>
              </w:rPr>
              <w:t>-</w:t>
            </w:r>
            <w:r>
              <w:rPr>
                <w:rFonts w:hint="default" w:ascii="Times New Roman" w:cs="Times New Roman"/>
                <w:color w:val="auto"/>
                <w:sz w:val="21"/>
                <w:szCs w:val="21"/>
              </w:rPr>
              <w:t>100</w:t>
            </w:r>
            <w:r>
              <w:rPr>
                <w:rFonts w:hint="eastAsia" w:ascii="Times New Roman" w:cs="Times New Roman"/>
                <w:color w:val="auto"/>
                <w:sz w:val="21"/>
                <w:szCs w:val="21"/>
              </w:rPr>
              <w:t>分</w:t>
            </w:r>
          </w:p>
        </w:tc>
        <w:tc>
          <w:tcPr>
            <w:tcW w:w="187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BAC76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80</w:t>
            </w:r>
            <w:r>
              <w:rPr>
                <w:rFonts w:hint="default" w:ascii="Times New Roman" w:cs="Times New Roman"/>
                <w:color w:val="auto"/>
                <w:sz w:val="21"/>
                <w:szCs w:val="21"/>
              </w:rPr>
              <w:t>-89</w:t>
            </w:r>
            <w:r>
              <w:rPr>
                <w:rFonts w:hint="eastAsia" w:ascii="Times New Roman" w:cs="Times New Roman"/>
                <w:color w:val="auto"/>
                <w:sz w:val="21"/>
                <w:szCs w:val="21"/>
              </w:rPr>
              <w:t>分</w:t>
            </w:r>
          </w:p>
        </w:tc>
        <w:tc>
          <w:tcPr>
            <w:tcW w:w="16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C42B1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lang w:val="en-US" w:eastAsia="zh-CN"/>
              </w:rPr>
            </w:pPr>
            <w:r>
              <w:rPr>
                <w:rFonts w:hint="eastAsia" w:ascii="Times New Roman" w:cs="Times New Roman"/>
                <w:color w:val="auto"/>
                <w:sz w:val="21"/>
                <w:szCs w:val="21"/>
                <w:lang w:val="en-US" w:eastAsia="zh-CN"/>
              </w:rPr>
              <w:t>70-79分</w:t>
            </w:r>
          </w:p>
        </w:tc>
        <w:tc>
          <w:tcPr>
            <w:tcW w:w="18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9675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60-</w:t>
            </w:r>
            <w:r>
              <w:rPr>
                <w:rFonts w:hint="eastAsia" w:ascii="Times New Roman" w:cs="Times New Roman"/>
                <w:color w:val="auto"/>
                <w:sz w:val="21"/>
                <w:szCs w:val="21"/>
                <w:lang w:val="en-US" w:eastAsia="zh-CN"/>
              </w:rPr>
              <w:t>69</w:t>
            </w:r>
            <w:r>
              <w:rPr>
                <w:rFonts w:hint="eastAsia" w:ascii="Times New Roman" w:cs="Times New Roman"/>
                <w:color w:val="auto"/>
                <w:sz w:val="21"/>
                <w:szCs w:val="21"/>
              </w:rPr>
              <w:t>分</w:t>
            </w:r>
          </w:p>
        </w:tc>
        <w:tc>
          <w:tcPr>
            <w:tcW w:w="13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49F6D6">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0-59</w:t>
            </w:r>
            <w:r>
              <w:rPr>
                <w:rFonts w:hint="eastAsia" w:ascii="Times New Roman" w:cs="Times New Roman"/>
                <w:color w:val="auto"/>
                <w:sz w:val="21"/>
                <w:szCs w:val="21"/>
              </w:rPr>
              <w:t>分</w:t>
            </w:r>
          </w:p>
        </w:tc>
      </w:tr>
      <w:tr w14:paraId="220A4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l2br w:val="nil"/>
              <w:tr2bl w:val="nil"/>
            </w:tcBorders>
            <w:noWrap w:val="0"/>
            <w:vAlign w:val="top"/>
          </w:tcPr>
          <w:p w14:paraId="78DDE83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理论转化</w:t>
            </w:r>
          </w:p>
        </w:tc>
        <w:tc>
          <w:tcPr>
            <w:tcW w:w="2130" w:type="dxa"/>
            <w:tcBorders>
              <w:top w:val="single" w:color="auto" w:sz="4" w:space="0"/>
              <w:left w:val="single" w:color="auto" w:sz="4" w:space="0"/>
              <w:bottom w:val="single" w:color="auto" w:sz="4" w:space="0"/>
              <w:right w:val="single" w:color="auto" w:sz="4" w:space="0"/>
              <w:tl2br w:val="nil"/>
              <w:tr2bl w:val="nil"/>
            </w:tcBorders>
            <w:noWrap w:val="0"/>
            <w:vAlign w:val="top"/>
          </w:tcPr>
          <w:p w14:paraId="027C6AF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套色木刻知识</w:t>
            </w:r>
            <w:r>
              <w:rPr>
                <w:rFonts w:hint="eastAsia" w:ascii="Times New Roman" w:cs="Times New Roman"/>
                <w:color w:val="auto"/>
                <w:sz w:val="21"/>
                <w:szCs w:val="21"/>
              </w:rPr>
              <w:t>理解好，</w:t>
            </w:r>
            <w:r>
              <w:rPr>
                <w:rFonts w:hint="eastAsia" w:ascii="Times New Roman" w:cs="Times New Roman"/>
                <w:color w:val="auto"/>
                <w:sz w:val="21"/>
                <w:szCs w:val="21"/>
                <w:lang w:val="en-US" w:eastAsia="zh-CN"/>
              </w:rPr>
              <w:t>题材</w:t>
            </w:r>
            <w:r>
              <w:rPr>
                <w:rFonts w:hint="eastAsia" w:ascii="Times New Roman" w:cs="Times New Roman"/>
                <w:color w:val="auto"/>
                <w:sz w:val="21"/>
                <w:szCs w:val="21"/>
              </w:rPr>
              <w:t>、</w:t>
            </w:r>
            <w:r>
              <w:rPr>
                <w:rFonts w:hint="eastAsia" w:ascii="Times New Roman" w:cs="Times New Roman"/>
                <w:color w:val="auto"/>
                <w:sz w:val="21"/>
                <w:szCs w:val="21"/>
                <w:lang w:val="en-US" w:eastAsia="zh-CN"/>
              </w:rPr>
              <w:t>风格</w:t>
            </w:r>
            <w:r>
              <w:rPr>
                <w:rFonts w:hint="eastAsia" w:ascii="Times New Roman" w:cs="Times New Roman"/>
                <w:color w:val="auto"/>
                <w:sz w:val="21"/>
                <w:szCs w:val="21"/>
              </w:rPr>
              <w:t>、</w:t>
            </w:r>
            <w:r>
              <w:rPr>
                <w:rFonts w:hint="eastAsia" w:ascii="Times New Roman" w:cs="Times New Roman"/>
                <w:color w:val="auto"/>
                <w:sz w:val="21"/>
                <w:szCs w:val="21"/>
                <w:lang w:val="en-US" w:eastAsia="zh-CN"/>
              </w:rPr>
              <w:t>形式</w:t>
            </w:r>
            <w:r>
              <w:rPr>
                <w:rFonts w:hint="eastAsia" w:ascii="Times New Roman" w:cs="Times New Roman"/>
                <w:color w:val="auto"/>
                <w:sz w:val="21"/>
                <w:szCs w:val="21"/>
              </w:rPr>
              <w:t>、</w:t>
            </w:r>
            <w:r>
              <w:rPr>
                <w:rFonts w:hint="eastAsia" w:ascii="Times New Roman" w:cs="Times New Roman"/>
                <w:color w:val="auto"/>
                <w:sz w:val="21"/>
                <w:szCs w:val="21"/>
                <w:lang w:val="en-US" w:eastAsia="zh-CN"/>
              </w:rPr>
              <w:t>技法</w:t>
            </w:r>
            <w:r>
              <w:rPr>
                <w:rFonts w:hint="eastAsia" w:ascii="Times New Roman" w:cs="Times New Roman"/>
                <w:color w:val="auto"/>
                <w:sz w:val="21"/>
                <w:szCs w:val="21"/>
              </w:rPr>
              <w:t>佳。画面有秩序、节奏表达</w:t>
            </w:r>
            <w:r>
              <w:rPr>
                <w:rFonts w:hint="eastAsia" w:ascii="Times New Roman" w:cs="Times New Roman"/>
                <w:color w:val="auto"/>
                <w:sz w:val="21"/>
                <w:szCs w:val="21"/>
                <w:lang w:eastAsia="zh-CN"/>
              </w:rPr>
              <w:t>。</w:t>
            </w:r>
          </w:p>
        </w:tc>
        <w:tc>
          <w:tcPr>
            <w:tcW w:w="1876" w:type="dxa"/>
            <w:tcBorders>
              <w:top w:val="single" w:color="auto" w:sz="4" w:space="0"/>
              <w:left w:val="single" w:color="auto" w:sz="4" w:space="0"/>
              <w:bottom w:val="single" w:color="auto" w:sz="4" w:space="0"/>
              <w:right w:val="single" w:color="auto" w:sz="4" w:space="0"/>
              <w:tl2br w:val="nil"/>
              <w:tr2bl w:val="nil"/>
            </w:tcBorders>
            <w:noWrap w:val="0"/>
            <w:vAlign w:val="top"/>
          </w:tcPr>
          <w:p w14:paraId="2096D78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w:t>
            </w:r>
            <w:r>
              <w:rPr>
                <w:rFonts w:hint="eastAsia" w:ascii="Times New Roman" w:cs="Times New Roman"/>
                <w:color w:val="auto"/>
                <w:sz w:val="21"/>
                <w:szCs w:val="21"/>
              </w:rPr>
              <w:t>理论运用较好，</w:t>
            </w:r>
            <w:r>
              <w:rPr>
                <w:rFonts w:hint="eastAsia" w:ascii="Times New Roman" w:cs="Times New Roman"/>
                <w:color w:val="auto"/>
                <w:sz w:val="21"/>
                <w:szCs w:val="21"/>
                <w:lang w:val="en-US" w:eastAsia="zh-CN"/>
              </w:rPr>
              <w:t>题材</w:t>
            </w:r>
            <w:r>
              <w:rPr>
                <w:rFonts w:hint="eastAsia" w:ascii="Times New Roman" w:cs="Times New Roman"/>
                <w:color w:val="auto"/>
                <w:sz w:val="21"/>
                <w:szCs w:val="21"/>
              </w:rPr>
              <w:t>构图处理能力强，思考较深入。</w:t>
            </w:r>
          </w:p>
        </w:tc>
        <w:tc>
          <w:tcPr>
            <w:tcW w:w="1647" w:type="dxa"/>
            <w:tcBorders>
              <w:top w:val="single" w:color="auto" w:sz="4" w:space="0"/>
              <w:left w:val="single" w:color="auto" w:sz="4" w:space="0"/>
              <w:bottom w:val="single" w:color="auto" w:sz="4" w:space="0"/>
              <w:right w:val="single" w:color="auto" w:sz="4" w:space="0"/>
              <w:tl2br w:val="nil"/>
              <w:tr2bl w:val="nil"/>
            </w:tcBorders>
            <w:noWrap w:val="0"/>
            <w:vAlign w:val="top"/>
          </w:tcPr>
          <w:p w14:paraId="16C6D89A">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套色</w:t>
            </w:r>
            <w:r>
              <w:rPr>
                <w:rFonts w:hint="eastAsia" w:ascii="Times New Roman" w:cs="Times New Roman"/>
                <w:color w:val="auto"/>
                <w:sz w:val="21"/>
                <w:szCs w:val="21"/>
              </w:rPr>
              <w:t>木刻</w:t>
            </w:r>
            <w:r>
              <w:rPr>
                <w:rFonts w:hint="eastAsia" w:ascii="Times New Roman" w:cs="Times New Roman"/>
                <w:color w:val="auto"/>
                <w:sz w:val="21"/>
                <w:szCs w:val="21"/>
                <w:lang w:val="en-US" w:eastAsia="zh-CN"/>
              </w:rPr>
              <w:t xml:space="preserve"> </w:t>
            </w:r>
            <w:r>
              <w:rPr>
                <w:rFonts w:hint="eastAsia" w:ascii="Times New Roman" w:cs="Times New Roman"/>
                <w:color w:val="auto"/>
                <w:sz w:val="21"/>
                <w:szCs w:val="21"/>
              </w:rPr>
              <w:t>理论运用较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，构图处理能力</w:t>
            </w:r>
            <w:r>
              <w:rPr>
                <w:rFonts w:hint="eastAsia" w:ascii="Times New Roman" w:cs="Times New Roman"/>
                <w:color w:val="auto"/>
                <w:sz w:val="21"/>
                <w:szCs w:val="21"/>
                <w:lang w:val="en-US" w:eastAsia="zh-CN"/>
              </w:rPr>
              <w:t>弱</w:t>
            </w:r>
            <w:r>
              <w:rPr>
                <w:rFonts w:hint="eastAsia" w:ascii="Times New Roman" w:cs="Times New Roman"/>
                <w:color w:val="auto"/>
                <w:sz w:val="21"/>
                <w:szCs w:val="21"/>
              </w:rPr>
              <w:t>，思考较深入。</w:t>
            </w:r>
          </w:p>
        </w:tc>
        <w:tc>
          <w:tcPr>
            <w:tcW w:w="1877" w:type="dxa"/>
            <w:tcBorders>
              <w:top w:val="single" w:color="auto" w:sz="4" w:space="0"/>
              <w:left w:val="single" w:color="auto" w:sz="4" w:space="0"/>
              <w:bottom w:val="single" w:color="auto" w:sz="4" w:space="0"/>
              <w:right w:val="single" w:color="auto" w:sz="4" w:space="0"/>
              <w:tl2br w:val="nil"/>
              <w:tr2bl w:val="nil"/>
            </w:tcBorders>
            <w:noWrap w:val="0"/>
            <w:vAlign w:val="top"/>
          </w:tcPr>
          <w:p w14:paraId="71332E2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w:t>
            </w:r>
            <w:r>
              <w:rPr>
                <w:rFonts w:hint="eastAsia" w:ascii="Times New Roman" w:cs="Times New Roman"/>
                <w:color w:val="auto"/>
                <w:sz w:val="21"/>
                <w:szCs w:val="21"/>
              </w:rPr>
              <w:t>理论运用转</w:t>
            </w:r>
            <w:r>
              <w:rPr>
                <w:rFonts w:hint="eastAsia" w:ascii="Times New Roman" w:cs="Times New Roman"/>
                <w:color w:val="auto"/>
                <w:sz w:val="21"/>
                <w:szCs w:val="21"/>
                <w:lang w:val="en-US" w:eastAsia="zh-CN"/>
              </w:rPr>
              <w:t>化</w:t>
            </w:r>
            <w:r>
              <w:rPr>
                <w:rFonts w:hint="eastAsia" w:ascii="Times New Roman" w:cs="Times New Roman"/>
                <w:color w:val="auto"/>
                <w:sz w:val="21"/>
                <w:szCs w:val="21"/>
              </w:rPr>
              <w:t>差，</w:t>
            </w:r>
            <w:r>
              <w:rPr>
                <w:rFonts w:hint="eastAsia" w:ascii="Times New Roman" w:cs="Times New Roman"/>
                <w:color w:val="auto"/>
                <w:sz w:val="21"/>
                <w:szCs w:val="21"/>
                <w:lang w:val="en-US" w:eastAsia="zh-CN"/>
              </w:rPr>
              <w:t>对风格技法有所</w:t>
            </w:r>
            <w:r>
              <w:rPr>
                <w:rFonts w:hint="eastAsia" w:ascii="Times New Roman" w:cs="Times New Roman"/>
                <w:color w:val="auto"/>
                <w:sz w:val="21"/>
                <w:szCs w:val="21"/>
              </w:rPr>
              <w:t>理解，有一定的</w:t>
            </w:r>
            <w:r>
              <w:rPr>
                <w:rFonts w:hint="eastAsia" w:ascii="Times New Roman" w:cs="Times New Roman"/>
                <w:color w:val="auto"/>
                <w:sz w:val="21"/>
                <w:szCs w:val="21"/>
                <w:lang w:val="en-US" w:eastAsia="zh-CN"/>
              </w:rPr>
              <w:t>版画语言</w:t>
            </w:r>
            <w:r>
              <w:rPr>
                <w:rFonts w:hint="eastAsia" w:ascii="Times New Roman" w:cs="Times New Roman"/>
                <w:color w:val="auto"/>
                <w:sz w:val="21"/>
                <w:szCs w:val="21"/>
              </w:rPr>
              <w:t>表达</w:t>
            </w:r>
            <w:r>
              <w:rPr>
                <w:rFonts w:hint="eastAsia" w:ascii="Times New Roman" w:cs="Times New Roman"/>
                <w:color w:val="auto"/>
                <w:sz w:val="21"/>
                <w:szCs w:val="21"/>
                <w:lang w:val="en-US" w:eastAsia="zh-CN"/>
              </w:rPr>
              <w:t>能力</w:t>
            </w:r>
            <w:r>
              <w:rPr>
                <w:rFonts w:hint="eastAsia" w:ascii="Times New Roman" w:cs="Times New Roman"/>
                <w:color w:val="auto"/>
                <w:sz w:val="21"/>
                <w:szCs w:val="21"/>
              </w:rPr>
              <w:t>。</w:t>
            </w:r>
          </w:p>
        </w:tc>
        <w:tc>
          <w:tcPr>
            <w:tcW w:w="1356" w:type="dxa"/>
            <w:tcBorders>
              <w:top w:val="single" w:color="auto" w:sz="4" w:space="0"/>
              <w:left w:val="single" w:color="auto" w:sz="4" w:space="0"/>
              <w:bottom w:val="single" w:color="auto" w:sz="4" w:space="0"/>
              <w:right w:val="single" w:color="auto" w:sz="4" w:space="0"/>
              <w:tl2br w:val="nil"/>
              <w:tr2bl w:val="nil"/>
            </w:tcBorders>
            <w:noWrap w:val="0"/>
            <w:vAlign w:val="top"/>
          </w:tcPr>
          <w:p w14:paraId="203F790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画面方向不明，材料特性掌握能力差，形态造型理解差。</w:t>
            </w:r>
          </w:p>
        </w:tc>
      </w:tr>
      <w:tr w14:paraId="369A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l2br w:val="nil"/>
              <w:tr2bl w:val="nil"/>
            </w:tcBorders>
            <w:noWrap w:val="0"/>
            <w:vAlign w:val="top"/>
          </w:tcPr>
          <w:p w14:paraId="61B2DB42">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作品效果</w:t>
            </w:r>
          </w:p>
        </w:tc>
        <w:tc>
          <w:tcPr>
            <w:tcW w:w="2130" w:type="dxa"/>
            <w:tcBorders>
              <w:top w:val="single" w:color="auto" w:sz="4" w:space="0"/>
              <w:left w:val="single" w:color="auto" w:sz="4" w:space="0"/>
              <w:bottom w:val="single" w:color="auto" w:sz="4" w:space="0"/>
              <w:right w:val="single" w:color="auto" w:sz="4" w:space="0"/>
              <w:tl2br w:val="nil"/>
              <w:tr2bl w:val="nil"/>
            </w:tcBorders>
            <w:noWrap w:val="0"/>
            <w:vAlign w:val="top"/>
          </w:tcPr>
          <w:p w14:paraId="03E06D2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w:t>
            </w:r>
            <w:r>
              <w:rPr>
                <w:rFonts w:hint="eastAsia" w:ascii="Times New Roman" w:cs="Times New Roman"/>
                <w:color w:val="auto"/>
                <w:sz w:val="21"/>
                <w:szCs w:val="21"/>
                <w:lang w:val="en-US" w:eastAsia="zh-CN"/>
              </w:rPr>
              <w:t>风格突出</w:t>
            </w:r>
            <w:r>
              <w:rPr>
                <w:rFonts w:hint="eastAsia" w:ascii="Times New Roman" w:cs="Times New Roman"/>
                <w:color w:val="auto"/>
                <w:sz w:val="21"/>
                <w:szCs w:val="21"/>
              </w:rPr>
              <w:t>，</w:t>
            </w:r>
            <w:r>
              <w:rPr>
                <w:rFonts w:hint="eastAsia" w:ascii="Times New Roman" w:cs="Times New Roman"/>
                <w:color w:val="auto"/>
                <w:sz w:val="21"/>
                <w:szCs w:val="21"/>
                <w:lang w:val="en-US" w:eastAsia="zh-CN"/>
              </w:rPr>
              <w:t>构图</w:t>
            </w:r>
            <w:r>
              <w:rPr>
                <w:rFonts w:hint="eastAsia" w:ascii="Times New Roman" w:cs="Times New Roman"/>
                <w:color w:val="auto"/>
                <w:sz w:val="21"/>
                <w:szCs w:val="21"/>
              </w:rPr>
              <w:t>恰当，主次分明，整体性好，技法熟练，有较好的审美表达能力</w:t>
            </w:r>
            <w:r>
              <w:rPr>
                <w:rFonts w:hint="eastAsia" w:ascii="Times New Roman" w:cs="Times New Roman"/>
                <w:color w:val="auto"/>
                <w:sz w:val="21"/>
                <w:szCs w:val="21"/>
                <w:lang w:eastAsia="zh-CN"/>
              </w:rPr>
              <w:t>，</w:t>
            </w:r>
            <w:r>
              <w:rPr>
                <w:rFonts w:hint="eastAsia" w:ascii="Times New Roman" w:cs="Times New Roman"/>
                <w:color w:val="auto"/>
                <w:sz w:val="21"/>
                <w:szCs w:val="21"/>
              </w:rPr>
              <w:t>有一定的语言特点。</w:t>
            </w:r>
          </w:p>
        </w:tc>
        <w:tc>
          <w:tcPr>
            <w:tcW w:w="1876" w:type="dxa"/>
            <w:tcBorders>
              <w:top w:val="single" w:color="auto" w:sz="4" w:space="0"/>
              <w:left w:val="single" w:color="auto" w:sz="4" w:space="0"/>
              <w:bottom w:val="single" w:color="auto" w:sz="4" w:space="0"/>
              <w:right w:val="single" w:color="auto" w:sz="4" w:space="0"/>
              <w:tl2br w:val="nil"/>
              <w:tr2bl w:val="nil"/>
            </w:tcBorders>
            <w:noWrap w:val="0"/>
            <w:vAlign w:val="top"/>
          </w:tcPr>
          <w:p w14:paraId="11BDC44A">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套色木刻</w:t>
            </w:r>
            <w:r>
              <w:rPr>
                <w:rFonts w:hint="eastAsia" w:ascii="Times New Roman" w:cs="Times New Roman"/>
                <w:color w:val="auto"/>
                <w:sz w:val="21"/>
                <w:szCs w:val="21"/>
              </w:rPr>
              <w:t>造型深入能力较好，整体关系较好，有一定的</w:t>
            </w:r>
            <w:r>
              <w:rPr>
                <w:rFonts w:hint="eastAsia" w:ascii="Times New Roman" w:cs="Times New Roman"/>
                <w:color w:val="auto"/>
                <w:sz w:val="21"/>
                <w:szCs w:val="21"/>
                <w:lang w:val="en-US" w:eastAsia="zh-CN"/>
              </w:rPr>
              <w:t>版画语言</w:t>
            </w:r>
            <w:r>
              <w:rPr>
                <w:rFonts w:hint="eastAsia" w:ascii="Times New Roman" w:cs="Times New Roman"/>
                <w:color w:val="auto"/>
                <w:sz w:val="21"/>
                <w:szCs w:val="21"/>
              </w:rPr>
              <w:t>能力，技法技巧较熟练。</w:t>
            </w:r>
          </w:p>
        </w:tc>
        <w:tc>
          <w:tcPr>
            <w:tcW w:w="1647" w:type="dxa"/>
            <w:tcBorders>
              <w:top w:val="single" w:color="auto" w:sz="4" w:space="0"/>
              <w:left w:val="single" w:color="auto" w:sz="4" w:space="0"/>
              <w:bottom w:val="single" w:color="auto" w:sz="4" w:space="0"/>
              <w:right w:val="single" w:color="auto" w:sz="4" w:space="0"/>
              <w:tl2br w:val="nil"/>
              <w:tr2bl w:val="nil"/>
            </w:tcBorders>
            <w:noWrap w:val="0"/>
            <w:vAlign w:val="top"/>
          </w:tcPr>
          <w:p w14:paraId="75E89322">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套色</w:t>
            </w:r>
            <w:r>
              <w:rPr>
                <w:rFonts w:hint="eastAsia" w:ascii="Times New Roman" w:cs="Times New Roman"/>
                <w:color w:val="auto"/>
                <w:sz w:val="21"/>
                <w:szCs w:val="21"/>
              </w:rPr>
              <w:t>木刻语言掌握较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，画面构图、</w:t>
            </w:r>
            <w:r>
              <w:rPr>
                <w:rFonts w:hint="eastAsia" w:ascii="Times New Roman" w:cs="Times New Roman"/>
                <w:color w:val="auto"/>
                <w:sz w:val="21"/>
                <w:szCs w:val="21"/>
                <w:lang w:val="en-US" w:eastAsia="zh-CN"/>
              </w:rPr>
              <w:t>色彩</w:t>
            </w:r>
            <w:r>
              <w:rPr>
                <w:rFonts w:hint="eastAsia" w:ascii="Times New Roman" w:cs="Times New Roman"/>
                <w:color w:val="auto"/>
                <w:sz w:val="21"/>
                <w:szCs w:val="21"/>
              </w:rPr>
              <w:t>分布、刀法运用整体关系</w:t>
            </w:r>
            <w:r>
              <w:rPr>
                <w:rFonts w:hint="eastAsia" w:ascii="Times New Roman" w:cs="Times New Roman"/>
                <w:color w:val="auto"/>
                <w:sz w:val="21"/>
                <w:szCs w:val="21"/>
                <w:lang w:val="en-US" w:eastAsia="zh-CN"/>
              </w:rPr>
              <w:t>混乱</w:t>
            </w:r>
            <w:r>
              <w:rPr>
                <w:rFonts w:hint="eastAsia" w:ascii="Times New Roman" w:cs="Times New Roman"/>
                <w:color w:val="auto"/>
                <w:sz w:val="21"/>
                <w:szCs w:val="21"/>
              </w:rPr>
              <w:t>， 技法</w:t>
            </w:r>
            <w:r>
              <w:rPr>
                <w:rFonts w:hint="eastAsia" w:ascii="Times New Roman" w:cs="Times New Roman"/>
                <w:color w:val="auto"/>
                <w:sz w:val="21"/>
                <w:szCs w:val="21"/>
                <w:lang w:val="en-US" w:eastAsia="zh-CN"/>
              </w:rPr>
              <w:t>不够</w:t>
            </w:r>
            <w:r>
              <w:rPr>
                <w:rFonts w:hint="eastAsia" w:ascii="Times New Roman" w:cs="Times New Roman"/>
                <w:color w:val="auto"/>
                <w:sz w:val="21"/>
                <w:szCs w:val="21"/>
              </w:rPr>
              <w:t>熟练。</w:t>
            </w:r>
          </w:p>
        </w:tc>
        <w:tc>
          <w:tcPr>
            <w:tcW w:w="1877" w:type="dxa"/>
            <w:tcBorders>
              <w:top w:val="single" w:color="auto" w:sz="4" w:space="0"/>
              <w:left w:val="single" w:color="auto" w:sz="4" w:space="0"/>
              <w:bottom w:val="single" w:color="auto" w:sz="4" w:space="0"/>
              <w:right w:val="single" w:color="auto" w:sz="4" w:space="0"/>
              <w:tl2br w:val="nil"/>
              <w:tr2bl w:val="nil"/>
            </w:tcBorders>
            <w:noWrap w:val="0"/>
            <w:vAlign w:val="top"/>
          </w:tcPr>
          <w:p w14:paraId="7E609396">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造型不准确，</w:t>
            </w:r>
            <w:r>
              <w:rPr>
                <w:rFonts w:hint="eastAsia" w:ascii="Times New Roman" w:cs="Times New Roman"/>
                <w:color w:val="auto"/>
                <w:sz w:val="21"/>
                <w:szCs w:val="21"/>
                <w:lang w:val="en-US" w:eastAsia="zh-CN"/>
              </w:rPr>
              <w:t>版画语言</w:t>
            </w:r>
            <w:r>
              <w:rPr>
                <w:rFonts w:hint="eastAsia" w:ascii="Times New Roman" w:cs="Times New Roman"/>
                <w:color w:val="auto"/>
                <w:sz w:val="21"/>
                <w:szCs w:val="21"/>
              </w:rPr>
              <w:t>表达不恰当，无深入表现能力，整体关系较差。</w:t>
            </w:r>
          </w:p>
        </w:tc>
        <w:tc>
          <w:tcPr>
            <w:tcW w:w="1356" w:type="dxa"/>
            <w:tcBorders>
              <w:top w:val="single" w:color="auto" w:sz="4" w:space="0"/>
              <w:left w:val="single" w:color="auto" w:sz="4" w:space="0"/>
              <w:bottom w:val="single" w:color="auto" w:sz="4" w:space="0"/>
              <w:right w:val="single" w:color="auto" w:sz="4" w:space="0"/>
              <w:tl2br w:val="nil"/>
              <w:tr2bl w:val="nil"/>
            </w:tcBorders>
            <w:noWrap w:val="0"/>
            <w:vAlign w:val="top"/>
          </w:tcPr>
          <w:p w14:paraId="1F8D272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w:t>
            </w:r>
            <w:r>
              <w:rPr>
                <w:rFonts w:hint="eastAsia" w:ascii="Times New Roman" w:cs="Times New Roman"/>
                <w:color w:val="auto"/>
                <w:sz w:val="21"/>
                <w:szCs w:val="21"/>
                <w:lang w:eastAsia="zh-CN"/>
              </w:rPr>
              <w:t>，</w:t>
            </w:r>
            <w:r>
              <w:rPr>
                <w:rFonts w:hint="eastAsia" w:ascii="Times New Roman" w:cs="Times New Roman"/>
                <w:color w:val="auto"/>
                <w:sz w:val="21"/>
                <w:szCs w:val="21"/>
              </w:rPr>
              <w:t>作品不完整，画面效果差。</w:t>
            </w:r>
          </w:p>
        </w:tc>
      </w:tr>
    </w:tbl>
    <w:p w14:paraId="326CBECB">
      <w:pPr>
        <w:snapToGrid w:val="0"/>
        <w:spacing w:line="400" w:lineRule="exact"/>
        <w:ind w:firstLine="480" w:firstLineChars="200"/>
        <w:jc w:val="both"/>
        <w:rPr>
          <w:rFonts w:hint="default" w:hAnsi="宋体"/>
          <w:color w:val="auto"/>
          <w:sz w:val="24"/>
          <w:szCs w:val="24"/>
          <w:lang w:val="en-US" w:eastAsia="zh-CN"/>
        </w:rPr>
      </w:pPr>
    </w:p>
    <w:p w14:paraId="496CA665">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14:paraId="08F2D3B1">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14:paraId="5EC533F2">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14:paraId="6AB25AF5">
      <w:pPr>
        <w:autoSpaceDE w:val="0"/>
        <w:autoSpaceDN w:val="0"/>
        <w:adjustRightInd w:val="0"/>
        <w:snapToGrid w:val="0"/>
        <w:spacing w:line="400" w:lineRule="exact"/>
        <w:ind w:firstLine="480" w:firstLineChars="200"/>
        <w:jc w:val="left"/>
        <w:rPr>
          <w:rFonts w:hint="eastAsia" w:ascii="Times New Roman" w:hAnsi="Times New Roman" w:cs="Times New Roman" w:eastAsiaTheme="minorEastAsia"/>
          <w:lang w:eastAsia="zh-CN"/>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hint="eastAsia" w:hAnsi="宋体"/>
          <w:color w:val="auto"/>
          <w:sz w:val="24"/>
          <w:szCs w:val="24"/>
          <w:lang w:val="zh-TW" w:eastAsia="zh-CN"/>
        </w:rPr>
        <w:t>。</w: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4EC136-EF16-43B1-86E5-3DF8A958C2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7C283F9-B579-4F54-9037-D5A2A3F327F5}"/>
  </w:font>
  <w:font w:name="明黑等宽">
    <w:altName w:val="黑体"/>
    <w:panose1 w:val="00000000000000000000"/>
    <w:charset w:val="86"/>
    <w:family w:val="modern"/>
    <w:pitch w:val="default"/>
    <w:sig w:usb0="00000000" w:usb1="00000000" w:usb2="00000010" w:usb3="00000000" w:csb0="00040000" w:csb1="00000000"/>
    <w:embedRegular r:id="rId3" w:fontKey="{D1DD6D66-DFCD-40B1-B631-0E449C6084F5}"/>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19D59C35-6585-4A72-956E-1CF6EE846F1A}"/>
  </w:font>
  <w:font w:name="Times">
    <w:altName w:val="Times New Roman"/>
    <w:panose1 w:val="02020603050405020304"/>
    <w:charset w:val="00"/>
    <w:family w:val="roman"/>
    <w:pitch w:val="default"/>
    <w:sig w:usb0="00000000" w:usb1="00000000" w:usb2="00000009" w:usb3="00000000" w:csb0="000001FF" w:csb1="00000000"/>
    <w:embedRegular r:id="rId5" w:fontKey="{BE3F235F-A028-4195-8C07-A037F8D24C72}"/>
  </w:font>
  <w:font w:name="方正小标宋_GBK">
    <w:panose1 w:val="03000509000000000000"/>
    <w:charset w:val="86"/>
    <w:family w:val="script"/>
    <w:pitch w:val="default"/>
    <w:sig w:usb0="00000001" w:usb1="080E0000" w:usb2="00000000" w:usb3="00000000" w:csb0="00040000" w:csb1="00000000"/>
    <w:embedRegular r:id="rId6" w:fontKey="{C0D01C9A-F6F0-4A49-84BD-93ABDB31E850}"/>
  </w:font>
  <w:font w:name="Hiragino Sans GB W6">
    <w:altName w:val="MS Gothic"/>
    <w:panose1 w:val="00000000000000000000"/>
    <w:charset w:val="80"/>
    <w:family w:val="swiss"/>
    <w:pitch w:val="default"/>
    <w:sig w:usb0="00000000" w:usb1="00000000" w:usb2="00000010" w:usb3="00000000" w:csb0="00020000" w:csb1="00000000"/>
    <w:embedRegular r:id="rId7" w:fontKey="{BC97E60C-C1BF-4B1A-BB4A-9E560C2F36C3}"/>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8DC74">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57AEF6">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057AEF6">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 w:name="KSO_WPS_MARK_KEY" w:val="9fce80b0-3bc1-4998-a662-8746a374a166"/>
  </w:docVars>
  <w:rsids>
    <w:rsidRoot w:val="008F4441"/>
    <w:rsid w:val="00001AA7"/>
    <w:rsid w:val="0003697A"/>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C51E5"/>
    <w:rsid w:val="00400041"/>
    <w:rsid w:val="00411B21"/>
    <w:rsid w:val="00414CEA"/>
    <w:rsid w:val="0042568A"/>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3BA2"/>
    <w:rsid w:val="00906786"/>
    <w:rsid w:val="00A02E2B"/>
    <w:rsid w:val="00A17432"/>
    <w:rsid w:val="00A23A71"/>
    <w:rsid w:val="00A90958"/>
    <w:rsid w:val="00AD3E5A"/>
    <w:rsid w:val="00AD5FBC"/>
    <w:rsid w:val="00C2471D"/>
    <w:rsid w:val="00C431A3"/>
    <w:rsid w:val="00C67328"/>
    <w:rsid w:val="00C86D01"/>
    <w:rsid w:val="00CC68FF"/>
    <w:rsid w:val="00CE18CA"/>
    <w:rsid w:val="00D150FB"/>
    <w:rsid w:val="00D30B38"/>
    <w:rsid w:val="00EC4EB7"/>
    <w:rsid w:val="00ED5A20"/>
    <w:rsid w:val="00F03B7C"/>
    <w:rsid w:val="00F47977"/>
    <w:rsid w:val="00F856C2"/>
    <w:rsid w:val="00F93584"/>
    <w:rsid w:val="00FB1211"/>
    <w:rsid w:val="00FE1C84"/>
    <w:rsid w:val="00FF64D3"/>
    <w:rsid w:val="0136557F"/>
    <w:rsid w:val="01C53654"/>
    <w:rsid w:val="036B1F8A"/>
    <w:rsid w:val="03E017D2"/>
    <w:rsid w:val="03E42333"/>
    <w:rsid w:val="04B213C1"/>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7AA5F28"/>
    <w:rsid w:val="18041ADC"/>
    <w:rsid w:val="183F036B"/>
    <w:rsid w:val="18CB084B"/>
    <w:rsid w:val="19BE21E6"/>
    <w:rsid w:val="1B1D4C62"/>
    <w:rsid w:val="1BDA57BC"/>
    <w:rsid w:val="1CBA6C0D"/>
    <w:rsid w:val="1F66526C"/>
    <w:rsid w:val="21466019"/>
    <w:rsid w:val="21874A34"/>
    <w:rsid w:val="21EE1107"/>
    <w:rsid w:val="233B65CE"/>
    <w:rsid w:val="235B6396"/>
    <w:rsid w:val="2415665F"/>
    <w:rsid w:val="24B44889"/>
    <w:rsid w:val="25AD3920"/>
    <w:rsid w:val="25ED50B4"/>
    <w:rsid w:val="2643018C"/>
    <w:rsid w:val="2674607E"/>
    <w:rsid w:val="27EB4340"/>
    <w:rsid w:val="28243AD4"/>
    <w:rsid w:val="2A6D6A8C"/>
    <w:rsid w:val="2BD75E00"/>
    <w:rsid w:val="2C5D5807"/>
    <w:rsid w:val="2C6646BB"/>
    <w:rsid w:val="2CA13D59"/>
    <w:rsid w:val="2ED31DB0"/>
    <w:rsid w:val="2F76515D"/>
    <w:rsid w:val="2F9432ED"/>
    <w:rsid w:val="2FE42670"/>
    <w:rsid w:val="3036518E"/>
    <w:rsid w:val="308E41E1"/>
    <w:rsid w:val="31496359"/>
    <w:rsid w:val="31F938DC"/>
    <w:rsid w:val="34014CC9"/>
    <w:rsid w:val="34963664"/>
    <w:rsid w:val="34ED1251"/>
    <w:rsid w:val="35B467CF"/>
    <w:rsid w:val="365C5588"/>
    <w:rsid w:val="376D439E"/>
    <w:rsid w:val="3834566E"/>
    <w:rsid w:val="38A127D5"/>
    <w:rsid w:val="396446BF"/>
    <w:rsid w:val="39DD3FBF"/>
    <w:rsid w:val="3A414AAA"/>
    <w:rsid w:val="3A541FF7"/>
    <w:rsid w:val="3AA765CB"/>
    <w:rsid w:val="3B567FF1"/>
    <w:rsid w:val="3BBA0580"/>
    <w:rsid w:val="3D541055"/>
    <w:rsid w:val="3DD27E02"/>
    <w:rsid w:val="3E154EDE"/>
    <w:rsid w:val="3E8C6A02"/>
    <w:rsid w:val="3EE31B9B"/>
    <w:rsid w:val="3F91215F"/>
    <w:rsid w:val="418D3B89"/>
    <w:rsid w:val="421B33FA"/>
    <w:rsid w:val="43985B28"/>
    <w:rsid w:val="459E681C"/>
    <w:rsid w:val="45E36925"/>
    <w:rsid w:val="464B19A0"/>
    <w:rsid w:val="465272DE"/>
    <w:rsid w:val="47765DD9"/>
    <w:rsid w:val="47BB0D03"/>
    <w:rsid w:val="48075EF5"/>
    <w:rsid w:val="48B620CF"/>
    <w:rsid w:val="493723E6"/>
    <w:rsid w:val="494E6C1D"/>
    <w:rsid w:val="49F46A03"/>
    <w:rsid w:val="4A1946C3"/>
    <w:rsid w:val="4A360F2F"/>
    <w:rsid w:val="4A4060F4"/>
    <w:rsid w:val="4ABC6467"/>
    <w:rsid w:val="4AD60806"/>
    <w:rsid w:val="4B0F469C"/>
    <w:rsid w:val="4B135DF2"/>
    <w:rsid w:val="4B2C0426"/>
    <w:rsid w:val="4B834CA9"/>
    <w:rsid w:val="4C993E74"/>
    <w:rsid w:val="4CEB46FC"/>
    <w:rsid w:val="4D0A29E9"/>
    <w:rsid w:val="4D4D2C78"/>
    <w:rsid w:val="4E944C60"/>
    <w:rsid w:val="4F5F7983"/>
    <w:rsid w:val="4F622668"/>
    <w:rsid w:val="50901457"/>
    <w:rsid w:val="50AE4F53"/>
    <w:rsid w:val="50E96FB6"/>
    <w:rsid w:val="52BC29D7"/>
    <w:rsid w:val="53195734"/>
    <w:rsid w:val="545E2DEB"/>
    <w:rsid w:val="54E63D3C"/>
    <w:rsid w:val="56151E85"/>
    <w:rsid w:val="56DA16D1"/>
    <w:rsid w:val="58CF6771"/>
    <w:rsid w:val="591F4052"/>
    <w:rsid w:val="5AA97D0E"/>
    <w:rsid w:val="5BE2723C"/>
    <w:rsid w:val="5C6171FB"/>
    <w:rsid w:val="5E7B72A3"/>
    <w:rsid w:val="5FAD406B"/>
    <w:rsid w:val="5FCE0BBC"/>
    <w:rsid w:val="6192502F"/>
    <w:rsid w:val="63BE65AF"/>
    <w:rsid w:val="63E1404C"/>
    <w:rsid w:val="649472FA"/>
    <w:rsid w:val="64D632A3"/>
    <w:rsid w:val="652A1A23"/>
    <w:rsid w:val="656071F2"/>
    <w:rsid w:val="65691FCF"/>
    <w:rsid w:val="65786F94"/>
    <w:rsid w:val="66805D9E"/>
    <w:rsid w:val="67C54DD0"/>
    <w:rsid w:val="68E5013A"/>
    <w:rsid w:val="698E07D2"/>
    <w:rsid w:val="6BBC1EC4"/>
    <w:rsid w:val="6BF16DF6"/>
    <w:rsid w:val="6C0B610A"/>
    <w:rsid w:val="6D9D5488"/>
    <w:rsid w:val="706978A3"/>
    <w:rsid w:val="70BC04CC"/>
    <w:rsid w:val="70C61997"/>
    <w:rsid w:val="711E68DF"/>
    <w:rsid w:val="724B3147"/>
    <w:rsid w:val="758A4BF7"/>
    <w:rsid w:val="761958C7"/>
    <w:rsid w:val="76A446E6"/>
    <w:rsid w:val="78690DCD"/>
    <w:rsid w:val="78817AFF"/>
    <w:rsid w:val="78F341AE"/>
    <w:rsid w:val="79017595"/>
    <w:rsid w:val="79982ACD"/>
    <w:rsid w:val="79A669E4"/>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1"/>
    <w:semiHidden/>
    <w:unhideWhenUsed/>
    <w:qFormat/>
    <w:uiPriority w:val="99"/>
    <w:rPr>
      <w:b/>
      <w:bCs/>
    </w:rPr>
  </w:style>
  <w:style w:type="paragraph" w:styleId="10">
    <w:name w:val="Body Text First Indent"/>
    <w:basedOn w:val="4"/>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Calibri" w:hAnsi="Calibri" w:eastAsia="宋体" w:cs="Calibri"/>
      <w:kern w:val="2"/>
      <w:sz w:val="21"/>
      <w:szCs w:val="21"/>
      <w:lang w:val="en-US" w:eastAsia="zh-CN" w:bidi="ar"/>
    </w:rPr>
  </w:style>
  <w:style w:type="table" w:styleId="12">
    <w:name w:val="Table Grid"/>
    <w:basedOn w:val="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22"/>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7"/>
    <w:qFormat/>
    <w:uiPriority w:val="99"/>
    <w:rPr>
      <w:sz w:val="18"/>
      <w:szCs w:val="18"/>
    </w:rPr>
  </w:style>
  <w:style w:type="character" w:customStyle="1" w:styleId="17">
    <w:name w:val="页脚 字符"/>
    <w:basedOn w:val="13"/>
    <w:link w:val="6"/>
    <w:qFormat/>
    <w:uiPriority w:val="99"/>
    <w:rPr>
      <w:sz w:val="18"/>
      <w:szCs w:val="18"/>
    </w:rPr>
  </w:style>
  <w:style w:type="character" w:customStyle="1" w:styleId="18">
    <w:name w:val="标题 字符"/>
    <w:basedOn w:val="13"/>
    <w:link w:val="8"/>
    <w:qFormat/>
    <w:uiPriority w:val="10"/>
    <w:rPr>
      <w:rFonts w:eastAsia="宋体" w:asciiTheme="majorHAnsi" w:hAnsiTheme="majorHAnsi" w:cstheme="majorBidi"/>
      <w:b/>
      <w:bCs/>
      <w:sz w:val="32"/>
      <w:szCs w:val="32"/>
    </w:rPr>
  </w:style>
  <w:style w:type="character" w:customStyle="1" w:styleId="19">
    <w:name w:val="批注文字 字符"/>
    <w:basedOn w:val="13"/>
    <w:link w:val="3"/>
    <w:qFormat/>
    <w:uiPriority w:val="99"/>
  </w:style>
  <w:style w:type="character" w:customStyle="1" w:styleId="20">
    <w:name w:val="批注框文本 字符"/>
    <w:basedOn w:val="13"/>
    <w:link w:val="5"/>
    <w:semiHidden/>
    <w:qFormat/>
    <w:uiPriority w:val="99"/>
    <w:rPr>
      <w:sz w:val="18"/>
      <w:szCs w:val="18"/>
    </w:rPr>
  </w:style>
  <w:style w:type="character" w:customStyle="1" w:styleId="21">
    <w:name w:val="批注主题 字符"/>
    <w:basedOn w:val="19"/>
    <w:link w:val="9"/>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字符"/>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5221</Words>
  <Characters>5509</Characters>
  <Lines>49</Lines>
  <Paragraphs>13</Paragraphs>
  <TotalTime>1</TotalTime>
  <ScaleCrop>false</ScaleCrop>
  <LinksUpToDate>false</LinksUpToDate>
  <CharactersWithSpaces>5591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露</cp:lastModifiedBy>
  <cp:lastPrinted>2023-11-01T03:39:00Z</cp:lastPrinted>
  <dcterms:modified xsi:type="dcterms:W3CDTF">2024-06-12T09:14:17Z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12D758CE867D42F18F40386080D333CC_13</vt:lpwstr>
  </property>
</Properties>
</file>